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82B97" w14:textId="2C40699A" w:rsidR="00F42A73" w:rsidRPr="00506B07" w:rsidRDefault="001928EC" w:rsidP="003A5148">
      <w:pPr>
        <w:spacing w:before="240" w:after="360" w:line="360" w:lineRule="auto"/>
        <w:jc w:val="both"/>
        <w:rPr>
          <w:rFonts w:ascii="Palatino Linotype" w:hAnsi="Palatino Linotype"/>
          <w:b/>
        </w:rPr>
      </w:pPr>
      <w:r>
        <w:rPr>
          <w:rFonts w:ascii="Palatino Linotype" w:hAnsi="Palatino Linotype"/>
          <w:b/>
        </w:rPr>
        <w:t xml:space="preserve">VOTO </w:t>
      </w:r>
      <w:r w:rsidR="00F42A73" w:rsidRPr="00506B07">
        <w:rPr>
          <w:rFonts w:ascii="Palatino Linotype" w:hAnsi="Palatino Linotype"/>
          <w:b/>
        </w:rPr>
        <w:t xml:space="preserve">PARTICULAR </w:t>
      </w:r>
      <w:r w:rsidR="005F58B1">
        <w:rPr>
          <w:rFonts w:ascii="Palatino Linotype" w:hAnsi="Palatino Linotype"/>
          <w:b/>
        </w:rPr>
        <w:t xml:space="preserve">QUE </w:t>
      </w:r>
      <w:r w:rsidR="00E7360F">
        <w:rPr>
          <w:rFonts w:ascii="Palatino Linotype" w:hAnsi="Palatino Linotype"/>
          <w:b/>
        </w:rPr>
        <w:t xml:space="preserve">FORMULA </w:t>
      </w:r>
      <w:r w:rsidR="005F58B1">
        <w:rPr>
          <w:rFonts w:ascii="Palatino Linotype" w:hAnsi="Palatino Linotype"/>
          <w:b/>
        </w:rPr>
        <w:t>EL COMISIONADO</w:t>
      </w:r>
      <w:r w:rsidR="00C55313">
        <w:rPr>
          <w:rFonts w:ascii="Palatino Linotype" w:hAnsi="Palatino Linotype"/>
          <w:b/>
        </w:rPr>
        <w:t xml:space="preserve"> JAVIER MARTÍNEZ CRUZ, </w:t>
      </w:r>
      <w:r w:rsidR="0036720F">
        <w:rPr>
          <w:rFonts w:ascii="Palatino Linotype" w:hAnsi="Palatino Linotype"/>
          <w:b/>
        </w:rPr>
        <w:t>EN RELACIÓN CON LA RESOLUCIÓ</w:t>
      </w:r>
      <w:r w:rsidR="00C55313">
        <w:rPr>
          <w:rFonts w:ascii="Palatino Linotype" w:hAnsi="Palatino Linotype"/>
          <w:b/>
        </w:rPr>
        <w:t>N DICTADA POR EL</w:t>
      </w:r>
      <w:r w:rsidR="0036720F">
        <w:rPr>
          <w:rFonts w:ascii="Palatino Linotype" w:hAnsi="Palatino Linotype"/>
          <w:b/>
        </w:rPr>
        <w:t xml:space="preserve"> PLENO DE ESTE INSTITUTO DE TRA</w:t>
      </w:r>
      <w:r w:rsidR="00C55313">
        <w:rPr>
          <w:rFonts w:ascii="Palatino Linotype" w:hAnsi="Palatino Linotype"/>
          <w:b/>
        </w:rPr>
        <w:t>N</w:t>
      </w:r>
      <w:r w:rsidR="0036720F">
        <w:rPr>
          <w:rFonts w:ascii="Palatino Linotype" w:hAnsi="Palatino Linotype"/>
          <w:b/>
        </w:rPr>
        <w:t>S</w:t>
      </w:r>
      <w:r w:rsidR="00FC21AA">
        <w:rPr>
          <w:rFonts w:ascii="Palatino Linotype" w:hAnsi="Palatino Linotype"/>
          <w:b/>
        </w:rPr>
        <w:t>PARENCIA, ACCESO A LA INFORMACIÓ</w:t>
      </w:r>
      <w:r w:rsidR="00C55313">
        <w:rPr>
          <w:rFonts w:ascii="Palatino Linotype" w:hAnsi="Palatino Linotype"/>
          <w:b/>
        </w:rPr>
        <w:t xml:space="preserve">N PÚBLICA Y PROTECCIÓN DE DATOS PERSONALES DEL ESTADO DE MÉXICO Y MUNICIPIOS, EN LA </w:t>
      </w:r>
      <w:r w:rsidR="00955984">
        <w:rPr>
          <w:rFonts w:ascii="Palatino Linotype" w:hAnsi="Palatino Linotype"/>
          <w:b/>
        </w:rPr>
        <w:t xml:space="preserve">VIGÉSIMA CUARTA </w:t>
      </w:r>
      <w:r w:rsidR="00C55313">
        <w:rPr>
          <w:rFonts w:ascii="Palatino Linotype" w:hAnsi="Palatino Linotype"/>
          <w:b/>
        </w:rPr>
        <w:t xml:space="preserve">SESIÓN ORDINARIA DE FECHA </w:t>
      </w:r>
      <w:r w:rsidR="00955984">
        <w:rPr>
          <w:rFonts w:ascii="Palatino Linotype" w:hAnsi="Palatino Linotype"/>
          <w:b/>
        </w:rPr>
        <w:t>VEINTIS</w:t>
      </w:r>
      <w:r w:rsidR="00DF1A6A">
        <w:rPr>
          <w:rFonts w:ascii="Palatino Linotype" w:hAnsi="Palatino Linotype"/>
          <w:b/>
        </w:rPr>
        <w:t>É</w:t>
      </w:r>
      <w:r w:rsidR="00955984">
        <w:rPr>
          <w:rFonts w:ascii="Palatino Linotype" w:hAnsi="Palatino Linotype"/>
          <w:b/>
        </w:rPr>
        <w:t>IS DE JUNIO</w:t>
      </w:r>
      <w:r w:rsidR="00267C5C">
        <w:rPr>
          <w:rFonts w:ascii="Palatino Linotype" w:hAnsi="Palatino Linotype"/>
          <w:b/>
        </w:rPr>
        <w:t xml:space="preserve"> </w:t>
      </w:r>
      <w:r w:rsidR="00246378">
        <w:rPr>
          <w:rFonts w:ascii="Palatino Linotype" w:hAnsi="Palatino Linotype"/>
          <w:b/>
        </w:rPr>
        <w:t>DE DOS MIL DIECI</w:t>
      </w:r>
      <w:r w:rsidR="00955984">
        <w:rPr>
          <w:rFonts w:ascii="Palatino Linotype" w:hAnsi="Palatino Linotype"/>
          <w:b/>
        </w:rPr>
        <w:t>NUEVE</w:t>
      </w:r>
      <w:r w:rsidR="00C55313">
        <w:rPr>
          <w:rFonts w:ascii="Palatino Linotype" w:hAnsi="Palatino Linotype"/>
          <w:b/>
        </w:rPr>
        <w:t xml:space="preserve">, EN </w:t>
      </w:r>
      <w:r w:rsidR="00DC3BDE">
        <w:rPr>
          <w:rFonts w:ascii="Palatino Linotype" w:hAnsi="Palatino Linotype"/>
          <w:b/>
        </w:rPr>
        <w:t>EL</w:t>
      </w:r>
      <w:r w:rsidR="00C55313">
        <w:rPr>
          <w:rFonts w:ascii="Palatino Linotype" w:hAnsi="Palatino Linotype"/>
          <w:b/>
        </w:rPr>
        <w:t xml:space="preserve"> RECU</w:t>
      </w:r>
      <w:r w:rsidR="00F42A73" w:rsidRPr="00506B07">
        <w:rPr>
          <w:rFonts w:ascii="Palatino Linotype" w:hAnsi="Palatino Linotype"/>
          <w:b/>
        </w:rPr>
        <w:t xml:space="preserve">RSO DE REVISIÓN </w:t>
      </w:r>
      <w:r w:rsidR="00246378">
        <w:rPr>
          <w:rFonts w:ascii="Palatino Linotype" w:hAnsi="Palatino Linotype" w:cs="Arial"/>
          <w:b/>
          <w:bCs/>
          <w:lang w:eastAsia="es-MX"/>
        </w:rPr>
        <w:t>0</w:t>
      </w:r>
      <w:r w:rsidR="00790D01">
        <w:rPr>
          <w:rFonts w:ascii="Palatino Linotype" w:hAnsi="Palatino Linotype" w:cs="Arial"/>
          <w:b/>
          <w:bCs/>
          <w:lang w:eastAsia="es-MX"/>
        </w:rPr>
        <w:t>2</w:t>
      </w:r>
      <w:r w:rsidR="00955984">
        <w:rPr>
          <w:rFonts w:ascii="Palatino Linotype" w:hAnsi="Palatino Linotype" w:cs="Arial"/>
          <w:b/>
          <w:bCs/>
          <w:lang w:eastAsia="es-MX"/>
        </w:rPr>
        <w:t>542</w:t>
      </w:r>
      <w:r w:rsidR="00267C5C">
        <w:rPr>
          <w:rFonts w:ascii="Palatino Linotype" w:hAnsi="Palatino Linotype" w:cs="Arial"/>
          <w:b/>
          <w:bCs/>
          <w:lang w:eastAsia="es-MX"/>
        </w:rPr>
        <w:t>/INFOEM/IP/RR/201</w:t>
      </w:r>
      <w:r w:rsidR="00DF1A6A">
        <w:rPr>
          <w:rFonts w:ascii="Palatino Linotype" w:hAnsi="Palatino Linotype" w:cs="Arial"/>
          <w:b/>
          <w:bCs/>
          <w:lang w:eastAsia="es-MX"/>
        </w:rPr>
        <w:t>9</w:t>
      </w:r>
      <w:r w:rsidR="00DC3BDE">
        <w:rPr>
          <w:rFonts w:ascii="Palatino Linotype" w:hAnsi="Palatino Linotype" w:cs="Arial"/>
          <w:b/>
          <w:bCs/>
          <w:lang w:eastAsia="es-MX"/>
        </w:rPr>
        <w:t>.</w:t>
      </w:r>
    </w:p>
    <w:p w14:paraId="1CADB685" w14:textId="14D130A8" w:rsidR="00F6770E" w:rsidRDefault="00F42A73" w:rsidP="003A5148">
      <w:pPr>
        <w:spacing w:before="240" w:after="360" w:line="360" w:lineRule="auto"/>
        <w:jc w:val="both"/>
        <w:rPr>
          <w:rFonts w:ascii="Palatino Linotype" w:hAnsi="Palatino Linotype"/>
        </w:rPr>
      </w:pPr>
      <w:r w:rsidRPr="00506B07">
        <w:rPr>
          <w:rFonts w:ascii="Palatino Linotype" w:hAnsi="Palatino Linotype"/>
        </w:rPr>
        <w:t>Lo anterior con fundamento en</w:t>
      </w:r>
      <w:r w:rsidR="00CA1CE5">
        <w:rPr>
          <w:rFonts w:ascii="Palatino Linotype" w:hAnsi="Palatino Linotype"/>
        </w:rPr>
        <w:t xml:space="preserve"> </w:t>
      </w:r>
      <w:r w:rsidR="00834C48">
        <w:rPr>
          <w:rFonts w:ascii="Palatino Linotype" w:hAnsi="Palatino Linotype"/>
        </w:rPr>
        <w:t>el</w:t>
      </w:r>
      <w:r w:rsidR="00CA1CE5">
        <w:rPr>
          <w:rFonts w:ascii="Palatino Linotype" w:hAnsi="Palatino Linotype"/>
        </w:rPr>
        <w:t xml:space="preserve"> artículo</w:t>
      </w:r>
      <w:r w:rsidRPr="00506B07">
        <w:rPr>
          <w:rFonts w:ascii="Palatino Linotype" w:hAnsi="Palatino Linotype"/>
        </w:rPr>
        <w:t xml:space="preserve"> </w:t>
      </w:r>
      <w:r w:rsidR="00CA1CE5">
        <w:rPr>
          <w:rFonts w:ascii="Palatino Linotype" w:hAnsi="Palatino Linotype"/>
        </w:rPr>
        <w:t xml:space="preserve">14 fracciones X y XI </w:t>
      </w:r>
      <w:r w:rsidRPr="00506B07">
        <w:rPr>
          <w:rFonts w:ascii="Palatino Linotype" w:hAnsi="Palatino Linotype"/>
        </w:rPr>
        <w:t>del Reglamento del Instituto de Transparencia, Acceso a la Información Pública y Protección de Datos Personales del Estado de México.</w:t>
      </w:r>
    </w:p>
    <w:p w14:paraId="019DCAD8" w14:textId="102F573C" w:rsidR="00F3621D" w:rsidRDefault="006232F2" w:rsidP="003A5148">
      <w:pPr>
        <w:spacing w:before="240" w:after="360" w:line="360" w:lineRule="auto"/>
        <w:jc w:val="both"/>
        <w:rPr>
          <w:rFonts w:ascii="Palatino Linotype" w:hAnsi="Palatino Linotype"/>
          <w:color w:val="222222"/>
          <w:szCs w:val="17"/>
          <w:lang w:eastAsia="es-ES_tradnl"/>
        </w:rPr>
      </w:pPr>
      <w:r>
        <w:rPr>
          <w:rFonts w:ascii="Palatino Linotype" w:hAnsi="Palatino Linotype"/>
        </w:rPr>
        <w:t xml:space="preserve">En la sesión del </w:t>
      </w:r>
      <w:r w:rsidR="00DF1A6A">
        <w:rPr>
          <w:rFonts w:ascii="Palatino Linotype" w:hAnsi="Palatino Linotype"/>
        </w:rPr>
        <w:t>veintiséis de junio</w:t>
      </w:r>
      <w:r>
        <w:rPr>
          <w:rFonts w:ascii="Palatino Linotype" w:hAnsi="Palatino Linotype"/>
        </w:rPr>
        <w:t xml:space="preserve"> del presente año, </w:t>
      </w:r>
      <w:r w:rsidR="0088262E">
        <w:rPr>
          <w:rFonts w:ascii="Palatino Linotype" w:hAnsi="Palatino Linotype"/>
        </w:rPr>
        <w:t xml:space="preserve">los integrantes del Pleno de este Instituto aprobaron </w:t>
      </w:r>
      <w:r w:rsidR="00DF1A6A">
        <w:rPr>
          <w:rFonts w:ascii="Palatino Linotype" w:hAnsi="Palatino Linotype" w:cs="Arial"/>
          <w:b/>
          <w:bCs/>
        </w:rPr>
        <w:t>SOBRESEER</w:t>
      </w:r>
      <w:r w:rsidR="00790D01">
        <w:rPr>
          <w:rFonts w:ascii="Palatino Linotype" w:hAnsi="Palatino Linotype" w:cs="Arial"/>
          <w:b/>
          <w:bCs/>
        </w:rPr>
        <w:t xml:space="preserve"> </w:t>
      </w:r>
      <w:r w:rsidR="00DC3BDE">
        <w:rPr>
          <w:rFonts w:ascii="Palatino Linotype" w:hAnsi="Palatino Linotype" w:cs="Arial"/>
          <w:bCs/>
        </w:rPr>
        <w:t>el</w:t>
      </w:r>
      <w:r w:rsidR="00910E6C">
        <w:rPr>
          <w:rFonts w:ascii="Palatino Linotype" w:hAnsi="Palatino Linotype" w:cs="Arial"/>
          <w:bCs/>
        </w:rPr>
        <w:t xml:space="preserve"> recurso</w:t>
      </w:r>
      <w:r w:rsidR="00910E6C" w:rsidRPr="00A053B5">
        <w:rPr>
          <w:rFonts w:ascii="Palatino Linotype" w:hAnsi="Palatino Linotype" w:cs="Arial"/>
          <w:bCs/>
        </w:rPr>
        <w:t xml:space="preserve"> </w:t>
      </w:r>
      <w:r w:rsidR="00910E6C">
        <w:rPr>
          <w:rFonts w:ascii="Palatino Linotype" w:hAnsi="Palatino Linotype" w:cs="Arial"/>
          <w:bCs/>
        </w:rPr>
        <w:t xml:space="preserve">de revisión número </w:t>
      </w:r>
      <w:r w:rsidR="00790D01">
        <w:rPr>
          <w:rFonts w:ascii="Palatino Linotype" w:hAnsi="Palatino Linotype" w:cs="Arial"/>
          <w:b/>
          <w:bCs/>
          <w:spacing w:val="-20"/>
          <w:lang w:val="es-MX"/>
        </w:rPr>
        <w:t>02</w:t>
      </w:r>
      <w:r w:rsidR="00955984">
        <w:rPr>
          <w:rFonts w:ascii="Palatino Linotype" w:hAnsi="Palatino Linotype" w:cs="Arial"/>
          <w:b/>
          <w:bCs/>
          <w:spacing w:val="-20"/>
          <w:lang w:val="es-MX"/>
        </w:rPr>
        <w:t>542</w:t>
      </w:r>
      <w:r w:rsidR="00790D01">
        <w:rPr>
          <w:rFonts w:ascii="Palatino Linotype" w:hAnsi="Palatino Linotype" w:cs="Arial"/>
          <w:b/>
          <w:bCs/>
          <w:spacing w:val="-20"/>
          <w:lang w:val="es-MX"/>
        </w:rPr>
        <w:t>/</w:t>
      </w:r>
      <w:r w:rsidR="00DC3BDE">
        <w:rPr>
          <w:rFonts w:ascii="Palatino Linotype" w:hAnsi="Palatino Linotype" w:cs="Arial"/>
          <w:b/>
          <w:bCs/>
          <w:spacing w:val="-20"/>
          <w:lang w:val="es-MX"/>
        </w:rPr>
        <w:t>INFOEM/IP/RR/201</w:t>
      </w:r>
      <w:r w:rsidR="00DF1A6A">
        <w:rPr>
          <w:rFonts w:ascii="Palatino Linotype" w:hAnsi="Palatino Linotype" w:cs="Arial"/>
          <w:b/>
          <w:bCs/>
          <w:spacing w:val="-20"/>
          <w:lang w:val="es-MX"/>
        </w:rPr>
        <w:t>9</w:t>
      </w:r>
      <w:r w:rsidR="00910E6C">
        <w:rPr>
          <w:rFonts w:ascii="Palatino Linotype" w:hAnsi="Palatino Linotype" w:cs="Arial"/>
          <w:bCs/>
          <w:lang w:val="es-MX"/>
        </w:rPr>
        <w:t xml:space="preserve">, sentido que comparto en lo general, sin embargo, </w:t>
      </w:r>
      <w:r w:rsidR="00F3621D">
        <w:rPr>
          <w:rFonts w:ascii="Palatino Linotype" w:hAnsi="Palatino Linotype" w:cs="Arial"/>
          <w:bCs/>
          <w:lang w:val="es-MX"/>
        </w:rPr>
        <w:t xml:space="preserve">considero que </w:t>
      </w:r>
      <w:r w:rsidR="00264F22">
        <w:rPr>
          <w:rFonts w:ascii="Palatino Linotype" w:hAnsi="Palatino Linotype" w:cs="Arial"/>
          <w:bCs/>
          <w:lang w:val="es-MX"/>
        </w:rPr>
        <w:t xml:space="preserve">en </w:t>
      </w:r>
      <w:r w:rsidR="00F3621D">
        <w:rPr>
          <w:rFonts w:ascii="Palatino Linotype" w:hAnsi="Palatino Linotype" w:cs="Arial"/>
          <w:bCs/>
          <w:lang w:val="es-MX"/>
        </w:rPr>
        <w:t xml:space="preserve">el resolutivo </w:t>
      </w:r>
      <w:r w:rsidR="00790D01">
        <w:rPr>
          <w:rFonts w:ascii="Palatino Linotype" w:hAnsi="Palatino Linotype" w:cs="Arial"/>
          <w:bCs/>
          <w:lang w:val="es-MX"/>
        </w:rPr>
        <w:t>CUARTO</w:t>
      </w:r>
      <w:r w:rsidR="00F3621D">
        <w:rPr>
          <w:rFonts w:ascii="Palatino Linotype" w:hAnsi="Palatino Linotype" w:cs="Arial"/>
          <w:bCs/>
          <w:lang w:val="es-MX"/>
        </w:rPr>
        <w:t xml:space="preserve"> </w:t>
      </w:r>
      <w:r w:rsidR="00F3621D">
        <w:rPr>
          <w:rFonts w:ascii="Palatino Linotype" w:hAnsi="Palatino Linotype"/>
          <w:color w:val="222222"/>
          <w:szCs w:val="17"/>
          <w:lang w:eastAsia="es-ES_tradnl"/>
        </w:rPr>
        <w:t>se omitió</w:t>
      </w:r>
      <w:r w:rsidR="00264F22">
        <w:rPr>
          <w:rFonts w:ascii="Palatino Linotype" w:hAnsi="Palatino Linotype"/>
          <w:color w:val="222222"/>
          <w:szCs w:val="17"/>
          <w:lang w:eastAsia="es-ES_tradnl"/>
        </w:rPr>
        <w:t xml:space="preserve"> fundamentar en lo previsto en </w:t>
      </w:r>
      <w:r w:rsidR="00F3621D">
        <w:rPr>
          <w:rFonts w:ascii="Palatino Linotype" w:hAnsi="Palatino Linotype"/>
          <w:color w:val="222222"/>
          <w:szCs w:val="17"/>
          <w:lang w:eastAsia="es-ES_tradnl"/>
        </w:rPr>
        <w:t>l</w:t>
      </w:r>
      <w:r w:rsidR="00264F22">
        <w:rPr>
          <w:rFonts w:ascii="Palatino Linotype" w:hAnsi="Palatino Linotype"/>
          <w:color w:val="222222"/>
          <w:szCs w:val="17"/>
          <w:lang w:eastAsia="es-ES_tradnl"/>
        </w:rPr>
        <w:t>os</w:t>
      </w:r>
      <w:r w:rsidR="00F3621D">
        <w:rPr>
          <w:rFonts w:ascii="Palatino Linotype" w:hAnsi="Palatino Linotype"/>
          <w:color w:val="222222"/>
          <w:szCs w:val="17"/>
          <w:lang w:eastAsia="es-ES_tradnl"/>
        </w:rPr>
        <w:t xml:space="preserve"> artículo</w:t>
      </w:r>
      <w:r w:rsidR="00264F22">
        <w:rPr>
          <w:rFonts w:ascii="Palatino Linotype" w:hAnsi="Palatino Linotype"/>
          <w:color w:val="222222"/>
          <w:szCs w:val="17"/>
          <w:lang w:eastAsia="es-ES_tradnl"/>
        </w:rPr>
        <w:t>s</w:t>
      </w:r>
      <w:r w:rsidR="00F3621D">
        <w:rPr>
          <w:rFonts w:ascii="Palatino Linotype" w:hAnsi="Palatino Linotype"/>
          <w:color w:val="222222"/>
          <w:szCs w:val="17"/>
          <w:lang w:eastAsia="es-ES_tradnl"/>
        </w:rPr>
        <w:t xml:space="preserve"> 159</w:t>
      </w:r>
      <w:r w:rsidR="00264F22">
        <w:rPr>
          <w:rFonts w:ascii="Palatino Linotype" w:hAnsi="Palatino Linotype"/>
          <w:color w:val="222222"/>
          <w:szCs w:val="17"/>
          <w:lang w:eastAsia="es-ES_tradnl"/>
        </w:rPr>
        <w:t xml:space="preserve"> y</w:t>
      </w:r>
      <w:r w:rsidR="00DC3BDE">
        <w:rPr>
          <w:rFonts w:ascii="Palatino Linotype" w:hAnsi="Palatino Linotype"/>
          <w:color w:val="222222"/>
          <w:szCs w:val="17"/>
          <w:lang w:eastAsia="es-ES_tradnl"/>
        </w:rPr>
        <w:t xml:space="preserve"> </w:t>
      </w:r>
      <w:r w:rsidR="00264F22">
        <w:rPr>
          <w:rFonts w:ascii="Palatino Linotype" w:hAnsi="Palatino Linotype"/>
          <w:color w:val="222222"/>
          <w:szCs w:val="17"/>
          <w:lang w:eastAsia="es-ES_tradnl"/>
        </w:rPr>
        <w:t>160</w:t>
      </w:r>
      <w:r w:rsidR="00F3621D">
        <w:rPr>
          <w:rFonts w:ascii="Palatino Linotype" w:hAnsi="Palatino Linotype"/>
          <w:color w:val="222222"/>
          <w:szCs w:val="17"/>
          <w:lang w:eastAsia="es-ES_tradnl"/>
        </w:rPr>
        <w:t xml:space="preserve"> de la Ley General de Transparencia y A</w:t>
      </w:r>
      <w:r w:rsidR="00DC3BDE">
        <w:rPr>
          <w:rFonts w:ascii="Palatino Linotype" w:hAnsi="Palatino Linotype"/>
          <w:color w:val="222222"/>
          <w:szCs w:val="17"/>
          <w:lang w:eastAsia="es-ES_tradnl"/>
        </w:rPr>
        <w:t>cceso a la Información Pública.</w:t>
      </w:r>
    </w:p>
    <w:p w14:paraId="6B959D35" w14:textId="3E0EE455" w:rsidR="002D1549" w:rsidRDefault="00DC3BDE" w:rsidP="003A5148">
      <w:pPr>
        <w:spacing w:before="240" w:after="360" w:line="360" w:lineRule="auto"/>
        <w:jc w:val="both"/>
        <w:rPr>
          <w:rFonts w:ascii="Palatino Linotype" w:hAnsi="Palatino Linotype"/>
          <w:color w:val="222222"/>
          <w:szCs w:val="17"/>
          <w:lang w:eastAsia="es-ES_tradnl"/>
        </w:rPr>
      </w:pPr>
      <w:r>
        <w:rPr>
          <w:rFonts w:ascii="Palatino Linotype" w:hAnsi="Palatino Linotype"/>
          <w:color w:val="222222"/>
          <w:szCs w:val="17"/>
          <w:lang w:eastAsia="es-ES_tradnl"/>
        </w:rPr>
        <w:t>E</w:t>
      </w:r>
      <w:r w:rsidR="00F3621D">
        <w:rPr>
          <w:rFonts w:ascii="Palatino Linotype" w:hAnsi="Palatino Linotype"/>
          <w:color w:val="222222"/>
          <w:szCs w:val="17"/>
          <w:lang w:eastAsia="es-ES_tradnl"/>
        </w:rPr>
        <w:t xml:space="preserve">n mi opinión se le </w:t>
      </w:r>
      <w:r w:rsidR="002D1549">
        <w:rPr>
          <w:rFonts w:ascii="Palatino Linotype" w:hAnsi="Palatino Linotype"/>
          <w:color w:val="222222"/>
          <w:szCs w:val="17"/>
          <w:lang w:eastAsia="es-ES_tradnl"/>
        </w:rPr>
        <w:t>debió</w:t>
      </w:r>
      <w:r w:rsidR="00F3621D">
        <w:rPr>
          <w:rFonts w:ascii="Palatino Linotype" w:hAnsi="Palatino Linotype"/>
          <w:color w:val="222222"/>
          <w:szCs w:val="17"/>
          <w:lang w:eastAsia="es-ES_tradnl"/>
        </w:rPr>
        <w:t xml:space="preserve"> </w:t>
      </w:r>
      <w:r w:rsidR="002D1549">
        <w:rPr>
          <w:rFonts w:ascii="Palatino Linotype" w:hAnsi="Palatino Linotype"/>
          <w:color w:val="222222"/>
          <w:szCs w:val="17"/>
          <w:lang w:eastAsia="es-ES_tradnl"/>
        </w:rPr>
        <w:t>notificar al particular que podía</w:t>
      </w:r>
      <w:r w:rsidR="00F3621D">
        <w:rPr>
          <w:rFonts w:ascii="Palatino Linotype" w:hAnsi="Palatino Linotype"/>
          <w:color w:val="222222"/>
          <w:szCs w:val="17"/>
          <w:lang w:eastAsia="es-ES_tradnl"/>
        </w:rPr>
        <w:t xml:space="preserve"> </w:t>
      </w:r>
      <w:r w:rsidR="00F3621D" w:rsidRPr="00207478">
        <w:rPr>
          <w:rFonts w:ascii="Palatino Linotype" w:hAnsi="Palatino Linotype"/>
        </w:rPr>
        <w:t>impugnar</w:t>
      </w:r>
      <w:r>
        <w:rPr>
          <w:rFonts w:ascii="Palatino Linotype" w:hAnsi="Palatino Linotype"/>
        </w:rPr>
        <w:t xml:space="preserve"> la resolución</w:t>
      </w:r>
      <w:r w:rsidR="00F3621D" w:rsidRPr="00207478">
        <w:rPr>
          <w:rFonts w:ascii="Palatino Linotype" w:hAnsi="Palatino Linotype"/>
        </w:rPr>
        <w:t xml:space="preserve"> vía recurso de inconformidad ante el Instituto Nacional de Transparencia, Acceso a la Información y Protección de Datos Personales</w:t>
      </w:r>
      <w:r w:rsidR="00F3621D">
        <w:rPr>
          <w:rFonts w:ascii="Palatino Linotype" w:hAnsi="Palatino Linotype"/>
          <w:color w:val="222222"/>
          <w:szCs w:val="17"/>
          <w:lang w:eastAsia="es-ES_tradnl"/>
        </w:rPr>
        <w:t xml:space="preserve">, </w:t>
      </w:r>
      <w:r w:rsidR="002D1549">
        <w:rPr>
          <w:rFonts w:ascii="Palatino Linotype" w:hAnsi="Palatino Linotype"/>
          <w:color w:val="222222"/>
          <w:szCs w:val="17"/>
          <w:lang w:eastAsia="es-ES_tradnl"/>
        </w:rPr>
        <w:t>por las siguientes consideraciones:</w:t>
      </w:r>
    </w:p>
    <w:p w14:paraId="008609AF" w14:textId="418FB61F" w:rsidR="00DC3BDE" w:rsidRDefault="00DC3BDE" w:rsidP="003A5148">
      <w:pPr>
        <w:spacing w:before="240" w:after="360" w:line="360" w:lineRule="auto"/>
        <w:jc w:val="both"/>
        <w:rPr>
          <w:rFonts w:ascii="Palatino Linotype" w:hAnsi="Palatino Linotype"/>
          <w:color w:val="222222"/>
          <w:szCs w:val="17"/>
          <w:lang w:eastAsia="es-ES_tradnl"/>
        </w:rPr>
      </w:pPr>
      <w:r>
        <w:rPr>
          <w:rFonts w:ascii="Palatino Linotype" w:hAnsi="Palatino Linotype"/>
          <w:color w:val="222222"/>
          <w:szCs w:val="17"/>
          <w:lang w:eastAsia="es-ES_tradnl"/>
        </w:rPr>
        <w:t xml:space="preserve">El </w:t>
      </w:r>
      <w:r w:rsidR="002D1549">
        <w:rPr>
          <w:rFonts w:ascii="Palatino Linotype" w:hAnsi="Palatino Linotype"/>
          <w:color w:val="222222"/>
          <w:szCs w:val="17"/>
          <w:lang w:eastAsia="es-ES_tradnl"/>
        </w:rPr>
        <w:t xml:space="preserve">recurso de revisión fue interpuesto por el particular ante su inconformidad por la respuesta proporcionada por el </w:t>
      </w:r>
      <w:r w:rsidR="00DA33F5">
        <w:rPr>
          <w:rFonts w:ascii="Palatino Linotype" w:hAnsi="Palatino Linotype"/>
          <w:color w:val="222222"/>
          <w:szCs w:val="17"/>
          <w:lang w:eastAsia="es-ES_tradnl"/>
        </w:rPr>
        <w:t>Sujeto Obligado</w:t>
      </w:r>
      <w:r w:rsidR="002E0EDE">
        <w:rPr>
          <w:rFonts w:ascii="Palatino Linotype" w:hAnsi="Palatino Linotype"/>
          <w:color w:val="222222"/>
          <w:szCs w:val="17"/>
          <w:lang w:eastAsia="es-ES_tradnl"/>
        </w:rPr>
        <w:t>,</w:t>
      </w:r>
      <w:r w:rsidR="00DA33F5">
        <w:rPr>
          <w:rFonts w:ascii="Palatino Linotype" w:hAnsi="Palatino Linotype"/>
          <w:color w:val="222222"/>
          <w:szCs w:val="17"/>
          <w:lang w:eastAsia="es-ES_tradnl"/>
        </w:rPr>
        <w:t xml:space="preserve"> </w:t>
      </w:r>
      <w:r w:rsidR="00D72395">
        <w:rPr>
          <w:rFonts w:ascii="Palatino Linotype" w:hAnsi="Palatino Linotype"/>
          <w:color w:val="222222"/>
          <w:szCs w:val="17"/>
          <w:lang w:eastAsia="es-ES_tradnl"/>
        </w:rPr>
        <w:t xml:space="preserve">al considerar que </w:t>
      </w:r>
      <w:r w:rsidR="00DF1A6A">
        <w:rPr>
          <w:rFonts w:ascii="Palatino Linotype" w:hAnsi="Palatino Linotype"/>
          <w:color w:val="222222"/>
          <w:szCs w:val="17"/>
          <w:lang w:eastAsia="es-ES_tradnl"/>
        </w:rPr>
        <w:t xml:space="preserve">no entregó lo solicitado, aunado a que </w:t>
      </w:r>
      <w:r w:rsidR="00DF1A6A">
        <w:rPr>
          <w:rFonts w:ascii="Palatino Linotype" w:hAnsi="Palatino Linotype"/>
          <w:color w:val="222222"/>
          <w:szCs w:val="17"/>
          <w:lang w:eastAsia="es-ES_tradnl"/>
        </w:rPr>
        <w:lastRenderedPageBreak/>
        <w:t>los pedimentos de importación los debe tener, toda vez que su proveedor debió acreditar la legal importación de los bienes rentados.</w:t>
      </w:r>
    </w:p>
    <w:p w14:paraId="07E9732D" w14:textId="77777777" w:rsidR="00DF1A6A" w:rsidRDefault="00790D01" w:rsidP="003A5148">
      <w:pPr>
        <w:pStyle w:val="Sinespaciado"/>
        <w:spacing w:after="360" w:line="360" w:lineRule="auto"/>
        <w:jc w:val="both"/>
        <w:rPr>
          <w:rFonts w:ascii="Palatino Linotype" w:hAnsi="Palatino Linotype"/>
        </w:rPr>
      </w:pPr>
      <w:r w:rsidRPr="00DF1A6A">
        <w:rPr>
          <w:rFonts w:ascii="Palatino Linotype" w:hAnsi="Palatino Linotype" w:cs="Arial"/>
        </w:rPr>
        <w:t xml:space="preserve">Bajo este panorama, cabe señalar que </w:t>
      </w:r>
      <w:r>
        <w:rPr>
          <w:rFonts w:ascii="Palatino Linotype" w:hAnsi="Palatino Linotype" w:cs="Arial"/>
        </w:rPr>
        <w:t xml:space="preserve">se determinó </w:t>
      </w:r>
      <w:r w:rsidR="00DF1A6A">
        <w:rPr>
          <w:rFonts w:ascii="Palatino Linotype" w:hAnsi="Palatino Linotype" w:cs="Arial"/>
        </w:rPr>
        <w:t xml:space="preserve">sobreseer el recurso de inconformidad, toda vez, que en el momento procesal para rendir informe justificado, el </w:t>
      </w:r>
      <w:r>
        <w:rPr>
          <w:rFonts w:ascii="Palatino Linotype" w:hAnsi="Palatino Linotype" w:cs="Arial"/>
        </w:rPr>
        <w:t>Sujeto Obligado</w:t>
      </w:r>
      <w:r w:rsidR="00DF1A6A">
        <w:rPr>
          <w:rFonts w:ascii="Palatino Linotype" w:hAnsi="Palatino Linotype" w:cs="Arial"/>
        </w:rPr>
        <w:t xml:space="preserve"> envió el </w:t>
      </w:r>
      <w:r w:rsidR="00DF1A6A" w:rsidRPr="00CA6A2C">
        <w:rPr>
          <w:rFonts w:ascii="Palatino Linotype" w:hAnsi="Palatino Linotype"/>
          <w:b/>
        </w:rPr>
        <w:t>CT-2019-0103.pdf</w:t>
      </w:r>
      <w:r w:rsidR="00DF1A6A" w:rsidRPr="00CA6A2C">
        <w:rPr>
          <w:rFonts w:ascii="Palatino Linotype" w:hAnsi="Palatino Linotype"/>
        </w:rPr>
        <w:t xml:space="preserve">, correspondiente al Acta número CT-2019-0103, de fecha cinco de junio de dos mil diecinueve, del Comité de Transparencia de la Secretaría de Finanzas, en el que se sustentan las versiones públicas correspondientes al expediente del contrato CS/25/2018 y, además, se clasifica como información reservada, por 5 años, el </w:t>
      </w:r>
      <w:r w:rsidR="00DF1A6A" w:rsidRPr="00CA6A2C">
        <w:rPr>
          <w:rFonts w:ascii="Palatino Linotype" w:hAnsi="Palatino Linotype"/>
          <w:i/>
        </w:rPr>
        <w:t>anexo uno especificaciones del servicio</w:t>
      </w:r>
      <w:r w:rsidR="00DF1A6A" w:rsidRPr="00CA6A2C">
        <w:rPr>
          <w:rFonts w:ascii="Palatino Linotype" w:hAnsi="Palatino Linotype"/>
        </w:rPr>
        <w:t xml:space="preserve"> que obra en el expediente mencionado, constante de 24 fojas.</w:t>
      </w:r>
    </w:p>
    <w:p w14:paraId="59B9FD7D" w14:textId="5A8C07FE" w:rsidR="00C650FE" w:rsidRDefault="00790D01" w:rsidP="00DF1A6A">
      <w:pPr>
        <w:pStyle w:val="Sinespaciado"/>
        <w:spacing w:after="360" w:line="360" w:lineRule="auto"/>
        <w:jc w:val="both"/>
        <w:rPr>
          <w:rFonts w:ascii="Palatino Linotype" w:hAnsi="Palatino Linotype" w:cs="Arial"/>
        </w:rPr>
      </w:pPr>
      <w:r>
        <w:rPr>
          <w:rFonts w:ascii="Palatino Linotype" w:hAnsi="Palatino Linotype" w:cs="Arial"/>
        </w:rPr>
        <w:t xml:space="preserve"> </w:t>
      </w:r>
      <w:r w:rsidR="00F90894">
        <w:rPr>
          <w:rFonts w:ascii="Palatino Linotype" w:hAnsi="Palatino Linotype" w:cs="Arial"/>
        </w:rPr>
        <w:t xml:space="preserve">Derivado de lo anterior, es que </w:t>
      </w:r>
      <w:r w:rsidR="00DF1A6A">
        <w:rPr>
          <w:rFonts w:ascii="Palatino Linotype" w:hAnsi="Palatino Linotype" w:cs="Arial"/>
        </w:rPr>
        <w:t>a mi parecer</w:t>
      </w:r>
      <w:r w:rsidR="00F90894">
        <w:rPr>
          <w:rFonts w:ascii="Palatino Linotype" w:hAnsi="Palatino Linotype" w:cs="Arial"/>
        </w:rPr>
        <w:t xml:space="preserve"> debió considerarse</w:t>
      </w:r>
      <w:r w:rsidR="00DF1A6A">
        <w:rPr>
          <w:rFonts w:ascii="Palatino Linotype" w:hAnsi="Palatino Linotype" w:cs="Arial"/>
        </w:rPr>
        <w:t>,</w:t>
      </w:r>
      <w:r w:rsidR="00F90894">
        <w:rPr>
          <w:rFonts w:ascii="Palatino Linotype" w:hAnsi="Palatino Linotype" w:cs="Arial"/>
        </w:rPr>
        <w:t xml:space="preserve"> </w:t>
      </w:r>
      <w:r w:rsidR="00F90894">
        <w:rPr>
          <w:rFonts w:ascii="Palatino Linotype" w:hAnsi="Palatino Linotype"/>
        </w:rPr>
        <w:t xml:space="preserve">notificar al particular la posibilidad que tiene de acudir ante el </w:t>
      </w:r>
      <w:r w:rsidR="00F90894" w:rsidRPr="00207478">
        <w:rPr>
          <w:rFonts w:ascii="Palatino Linotype" w:hAnsi="Palatino Linotype"/>
        </w:rPr>
        <w:t>Instituto Nacional de Transparencia, Acceso a la Información y Protección de Datos Personales</w:t>
      </w:r>
      <w:r w:rsidR="00F90894">
        <w:rPr>
          <w:rFonts w:ascii="Palatino Linotype" w:hAnsi="Palatino Linotype"/>
        </w:rPr>
        <w:t xml:space="preserve"> (INAI) o ante el Poder Judicial de la Federación para interponer recurso de inconformidad ante la confirmación del acuerdo de inexistencia, </w:t>
      </w:r>
      <w:r w:rsidR="00F90894">
        <w:rPr>
          <w:rFonts w:ascii="Palatino Linotype" w:hAnsi="Palatino Linotype" w:cs="Arial"/>
        </w:rPr>
        <w:t>favoreciendo con ello lo previsto en el artículo 1</w:t>
      </w:r>
      <w:r w:rsidR="00F90894">
        <w:rPr>
          <w:rStyle w:val="Refdenotaalpie"/>
          <w:rFonts w:ascii="Palatino Linotype" w:hAnsi="Palatino Linotype" w:cs="Arial"/>
        </w:rPr>
        <w:footnoteReference w:id="1"/>
      </w:r>
      <w:r w:rsidR="00F90894">
        <w:rPr>
          <w:rFonts w:ascii="Palatino Linotype" w:hAnsi="Palatino Linotype" w:cs="Arial"/>
        </w:rPr>
        <w:t xml:space="preserve"> de la Constitución Política de los Estados </w:t>
      </w:r>
      <w:r w:rsidR="00F90894">
        <w:rPr>
          <w:rFonts w:ascii="Palatino Linotype" w:hAnsi="Palatino Linotype" w:cs="Arial"/>
        </w:rPr>
        <w:lastRenderedPageBreak/>
        <w:t xml:space="preserve">Unidos Mexicanos, a partir de </w:t>
      </w:r>
      <w:r w:rsidR="001D3EA3">
        <w:rPr>
          <w:rFonts w:ascii="Palatino Linotype" w:hAnsi="Palatino Linotype" w:cs="Arial"/>
        </w:rPr>
        <w:t>la interpretación</w:t>
      </w:r>
      <w:r w:rsidR="001D3EA3">
        <w:rPr>
          <w:rStyle w:val="Refdenotaalpie"/>
          <w:rFonts w:ascii="Palatino Linotype" w:hAnsi="Palatino Linotype" w:cs="Arial"/>
        </w:rPr>
        <w:footnoteReference w:id="2"/>
      </w:r>
      <w:r w:rsidR="001D3EA3">
        <w:rPr>
          <w:rFonts w:ascii="Palatino Linotype" w:hAnsi="Palatino Linotype" w:cs="Arial"/>
        </w:rPr>
        <w:t xml:space="preserve"> a </w:t>
      </w:r>
      <w:r w:rsidR="00C650FE">
        <w:rPr>
          <w:rFonts w:ascii="Palatino Linotype" w:hAnsi="Palatino Linotype" w:cs="Arial"/>
        </w:rPr>
        <w:t>los artículos 159 y 160 de la Ley General de Transparencia y Acceso a la Información Pública que son de la literalidad siguiente:</w:t>
      </w:r>
    </w:p>
    <w:p w14:paraId="61CD19C6" w14:textId="77777777" w:rsidR="003A5148" w:rsidRDefault="003A5148" w:rsidP="00C650FE">
      <w:pPr>
        <w:ind w:left="851" w:right="902"/>
        <w:jc w:val="both"/>
        <w:rPr>
          <w:rFonts w:ascii="Palatino Linotype" w:hAnsi="Palatino Linotype" w:cs="Arial"/>
          <w:b/>
          <w:i/>
          <w:sz w:val="20"/>
          <w:szCs w:val="20"/>
        </w:rPr>
      </w:pPr>
    </w:p>
    <w:p w14:paraId="4F3E9BD8" w14:textId="77777777" w:rsidR="00C650FE" w:rsidRPr="003A5148" w:rsidRDefault="00C650FE" w:rsidP="00C650FE">
      <w:pPr>
        <w:ind w:left="851" w:right="902"/>
        <w:jc w:val="both"/>
        <w:rPr>
          <w:rFonts w:ascii="Palatino Linotype" w:hAnsi="Palatino Linotype" w:cs="Arial"/>
          <w:i/>
          <w:sz w:val="20"/>
          <w:szCs w:val="20"/>
        </w:rPr>
      </w:pPr>
      <w:r w:rsidRPr="003A5148">
        <w:rPr>
          <w:rFonts w:ascii="Palatino Linotype" w:hAnsi="Palatino Linotype" w:cs="Arial"/>
          <w:b/>
          <w:i/>
          <w:sz w:val="20"/>
          <w:szCs w:val="20"/>
        </w:rPr>
        <w:t xml:space="preserve">“Artículo 159. </w:t>
      </w:r>
      <w:r w:rsidRPr="003A5148">
        <w:rPr>
          <w:rFonts w:ascii="Palatino Linotype" w:hAnsi="Palatino Linotype" w:cs="Arial"/>
          <w:i/>
          <w:sz w:val="20"/>
          <w:szCs w:val="20"/>
        </w:rPr>
        <w:t>Tratándose de las resoluciones a los recursos de revisión de los Organismos garantes de las Entidades Federativas, los particulares podrán optar por acudir ante el Instituto o ante el Poder Judicial de la Federación.</w:t>
      </w:r>
    </w:p>
    <w:p w14:paraId="2FED9BD7" w14:textId="77777777" w:rsidR="00C650FE" w:rsidRPr="003A5148" w:rsidRDefault="00C650FE" w:rsidP="00C650FE">
      <w:pPr>
        <w:ind w:left="851" w:right="902"/>
        <w:jc w:val="both"/>
        <w:rPr>
          <w:rFonts w:ascii="Palatino Linotype" w:hAnsi="Palatino Linotype" w:cs="Arial"/>
          <w:i/>
          <w:sz w:val="20"/>
          <w:szCs w:val="20"/>
        </w:rPr>
      </w:pPr>
      <w:r w:rsidRPr="003A5148">
        <w:rPr>
          <w:rFonts w:ascii="Palatino Linotype" w:hAnsi="Palatino Linotype" w:cs="Arial"/>
          <w:b/>
          <w:i/>
          <w:sz w:val="20"/>
          <w:szCs w:val="20"/>
        </w:rPr>
        <w:t>Artículo 160.</w:t>
      </w:r>
      <w:r w:rsidRPr="003A5148">
        <w:rPr>
          <w:rFonts w:ascii="Palatino Linotype" w:hAnsi="Palatino Linotype" w:cs="Arial"/>
          <w:i/>
          <w:sz w:val="20"/>
          <w:szCs w:val="20"/>
        </w:rPr>
        <w:t xml:space="preserve"> El recurso de inconformidad procede contra las resoluciones emitidas por los Organismos garantes de las Entidades Federativas que:</w:t>
      </w:r>
    </w:p>
    <w:p w14:paraId="49804FEF" w14:textId="77777777" w:rsidR="00C650FE" w:rsidRDefault="00C650FE" w:rsidP="00C650FE">
      <w:pPr>
        <w:ind w:left="851" w:right="902"/>
        <w:jc w:val="both"/>
        <w:rPr>
          <w:rFonts w:ascii="Palatino Linotype" w:hAnsi="Palatino Linotype" w:cs="Arial"/>
          <w:i/>
          <w:sz w:val="20"/>
          <w:szCs w:val="20"/>
        </w:rPr>
      </w:pPr>
      <w:r w:rsidRPr="003A5148">
        <w:rPr>
          <w:rFonts w:ascii="Palatino Linotype" w:hAnsi="Palatino Linotype" w:cs="Arial"/>
          <w:i/>
          <w:sz w:val="20"/>
          <w:szCs w:val="20"/>
        </w:rPr>
        <w:t>I. Confirmen o modifiquen la clasificación de la información, …”</w:t>
      </w:r>
    </w:p>
    <w:p w14:paraId="14629BBF" w14:textId="77777777" w:rsidR="003A5148" w:rsidRPr="003A5148" w:rsidRDefault="003A5148" w:rsidP="00C650FE">
      <w:pPr>
        <w:ind w:left="851" w:right="902"/>
        <w:jc w:val="both"/>
        <w:rPr>
          <w:rFonts w:ascii="Palatino Linotype" w:hAnsi="Palatino Linotype" w:cs="Arial"/>
          <w:i/>
          <w:sz w:val="20"/>
          <w:szCs w:val="20"/>
        </w:rPr>
      </w:pPr>
    </w:p>
    <w:p w14:paraId="12D154EB" w14:textId="0C169908" w:rsidR="0082281C" w:rsidRDefault="00F40941" w:rsidP="003A5148">
      <w:pPr>
        <w:spacing w:before="240" w:after="360" w:line="360" w:lineRule="auto"/>
        <w:jc w:val="both"/>
        <w:rPr>
          <w:rFonts w:ascii="Palatino Linotype" w:hAnsi="Palatino Linotype"/>
        </w:rPr>
      </w:pPr>
      <w:r>
        <w:rPr>
          <w:rFonts w:ascii="Palatino Linotype" w:hAnsi="Palatino Linotype"/>
        </w:rPr>
        <w:t xml:space="preserve">En este sentido, y para abundar en el tema conviene precisar que los particulares podrán interponer recurso de inconformidad ante el INAI o ante el Poder Judicial de la Federación </w:t>
      </w:r>
      <w:r>
        <w:rPr>
          <w:rFonts w:ascii="Palatino Linotype" w:hAnsi="Palatino Linotype"/>
        </w:rPr>
        <w:lastRenderedPageBreak/>
        <w:t>dentro de los quince días posteriores a que se tuvo conocimiento de la resolución mediante el sistema electrónico que para tales efectos haya dispuesto el INAI o por escrito.</w:t>
      </w:r>
    </w:p>
    <w:p w14:paraId="2318DE58" w14:textId="6284B647" w:rsidR="00F40941" w:rsidRDefault="00F40941" w:rsidP="003A5148">
      <w:pPr>
        <w:spacing w:before="240" w:after="360" w:line="360" w:lineRule="auto"/>
        <w:jc w:val="both"/>
        <w:rPr>
          <w:rFonts w:ascii="Palatino Linotype" w:hAnsi="Palatino Linotype"/>
        </w:rPr>
      </w:pPr>
      <w:r>
        <w:rPr>
          <w:rFonts w:ascii="Palatino Linotype" w:hAnsi="Palatino Linotype"/>
        </w:rPr>
        <w:t>Cabe considerar, que también se podrá presentar por escrito ante este Instituto, instancia que a su vez tiene la obligación de remitirlo</w:t>
      </w:r>
      <w:r w:rsidR="00393DFF">
        <w:rPr>
          <w:rFonts w:ascii="Palatino Linotype" w:hAnsi="Palatino Linotype"/>
        </w:rPr>
        <w:t xml:space="preserve"> al día siguiente de su recepción</w:t>
      </w:r>
      <w:r>
        <w:rPr>
          <w:rFonts w:ascii="Palatino Linotype" w:hAnsi="Palatino Linotype"/>
        </w:rPr>
        <w:t xml:space="preserve"> </w:t>
      </w:r>
      <w:r w:rsidR="00393DFF">
        <w:rPr>
          <w:rFonts w:ascii="Palatino Linotype" w:hAnsi="Palatino Linotype"/>
        </w:rPr>
        <w:t>al Organismo Garante de la Entidad Federativa, acompañado de la resolución impugnada.</w:t>
      </w:r>
    </w:p>
    <w:p w14:paraId="30DA30E9" w14:textId="46784406" w:rsidR="00393DFF" w:rsidRDefault="00393DFF" w:rsidP="003A5148">
      <w:pPr>
        <w:spacing w:before="240" w:after="360" w:line="360" w:lineRule="auto"/>
        <w:jc w:val="both"/>
        <w:rPr>
          <w:rFonts w:ascii="Palatino Linotype" w:hAnsi="Palatino Linotype"/>
        </w:rPr>
      </w:pPr>
      <w:r>
        <w:rPr>
          <w:rFonts w:ascii="Palatino Linotype" w:hAnsi="Palatino Linotype"/>
        </w:rPr>
        <w:t>Recurso de inconformidad, que deberá contener lo dispuesto en el artículo 162 de la Ley General de referencia, que reza de la siguiente forma:</w:t>
      </w:r>
    </w:p>
    <w:p w14:paraId="1EB06DDD" w14:textId="77777777" w:rsidR="003A5148" w:rsidRDefault="003A5148" w:rsidP="00393DFF">
      <w:pPr>
        <w:ind w:left="851" w:right="902"/>
        <w:jc w:val="both"/>
        <w:rPr>
          <w:rFonts w:ascii="Palatino Linotype" w:hAnsi="Palatino Linotype"/>
          <w:b/>
          <w:i/>
          <w:sz w:val="20"/>
          <w:szCs w:val="20"/>
        </w:rPr>
      </w:pPr>
    </w:p>
    <w:p w14:paraId="1452E548" w14:textId="2F4D701C" w:rsidR="00393DFF" w:rsidRPr="003A5148" w:rsidRDefault="00393DFF" w:rsidP="00393DFF">
      <w:pPr>
        <w:ind w:left="851" w:right="902"/>
        <w:jc w:val="both"/>
        <w:rPr>
          <w:rFonts w:ascii="Palatino Linotype" w:hAnsi="Palatino Linotype"/>
          <w:i/>
          <w:sz w:val="20"/>
          <w:szCs w:val="20"/>
        </w:rPr>
      </w:pPr>
      <w:r w:rsidRPr="003A5148">
        <w:rPr>
          <w:rFonts w:ascii="Palatino Linotype" w:hAnsi="Palatino Linotype"/>
          <w:b/>
          <w:i/>
          <w:sz w:val="20"/>
          <w:szCs w:val="20"/>
        </w:rPr>
        <w:t>“Artículo 162.</w:t>
      </w:r>
      <w:r w:rsidRPr="003A5148">
        <w:rPr>
          <w:rFonts w:ascii="Palatino Linotype" w:hAnsi="Palatino Linotype"/>
          <w:i/>
          <w:sz w:val="20"/>
          <w:szCs w:val="20"/>
        </w:rPr>
        <w:t xml:space="preserve"> El recurso de inconformidad deberá contener:  </w:t>
      </w:r>
    </w:p>
    <w:p w14:paraId="4B32A604"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I. El sujeto obligado ante el cual se presentó la solicitud;  </w:t>
      </w:r>
    </w:p>
    <w:p w14:paraId="7117BD65"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II. El número de la resolución del recurso de revisión de la resolución impugnada;  </w:t>
      </w:r>
    </w:p>
    <w:p w14:paraId="36C9B2A5"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III. El organismo garante que emitió la resolución que se impugna;  </w:t>
      </w:r>
    </w:p>
    <w:p w14:paraId="72D72D98"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IV. El nombre del inconforme y, en su caso, del tercero interesado, así como las correspondientes direcciones o medios para recibir notificaciones;  </w:t>
      </w:r>
    </w:p>
    <w:p w14:paraId="43FD0F43"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V. La fecha en que fue notificada la resolución impugnada;  </w:t>
      </w:r>
    </w:p>
    <w:p w14:paraId="5E3F5EAC"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VI. El acto que se recurre;  </w:t>
      </w:r>
    </w:p>
    <w:p w14:paraId="401FC473"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VII. Las razones o motivos de la inconformidad, y  </w:t>
      </w:r>
    </w:p>
    <w:p w14:paraId="1DC0530F"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VIII. La copia de la resolución que se impugna y, en su caso, de la notificación correspondiente.  </w:t>
      </w:r>
    </w:p>
    <w:p w14:paraId="6ED375DB" w14:textId="5C91E867" w:rsidR="00393DFF" w:rsidRDefault="00393DFF" w:rsidP="00393DFF">
      <w:pPr>
        <w:ind w:left="851" w:right="902"/>
        <w:jc w:val="both"/>
        <w:rPr>
          <w:rFonts w:ascii="Palatino Linotype" w:hAnsi="Palatino Linotype"/>
          <w:i/>
          <w:sz w:val="20"/>
          <w:szCs w:val="20"/>
        </w:rPr>
      </w:pPr>
      <w:r w:rsidRPr="003A5148">
        <w:rPr>
          <w:rFonts w:ascii="Palatino Linotype" w:hAnsi="Palatino Linotype"/>
          <w:i/>
          <w:sz w:val="20"/>
          <w:szCs w:val="20"/>
        </w:rPr>
        <w:t>El recurrente podrá anexar las pruebas y demás elementos que considere procedentes someter a consideración del organismo garante.”</w:t>
      </w:r>
    </w:p>
    <w:p w14:paraId="71737881" w14:textId="77777777" w:rsidR="003A5148" w:rsidRPr="003A5148" w:rsidRDefault="003A5148" w:rsidP="00393DFF">
      <w:pPr>
        <w:ind w:left="851" w:right="902"/>
        <w:jc w:val="both"/>
        <w:rPr>
          <w:rFonts w:ascii="Palatino Linotype" w:hAnsi="Palatino Linotype"/>
          <w:i/>
          <w:sz w:val="20"/>
          <w:szCs w:val="20"/>
        </w:rPr>
      </w:pPr>
    </w:p>
    <w:p w14:paraId="389506CA" w14:textId="0224A1F0" w:rsidR="001D5D6B" w:rsidRDefault="00C66660" w:rsidP="002E0EDE">
      <w:pPr>
        <w:spacing w:before="120" w:after="240" w:line="360" w:lineRule="auto"/>
        <w:jc w:val="both"/>
        <w:rPr>
          <w:rFonts w:ascii="Palatino Linotype" w:hAnsi="Palatino Linotype"/>
        </w:rPr>
      </w:pPr>
      <w:r>
        <w:rPr>
          <w:rFonts w:ascii="Palatino Linotype" w:hAnsi="Palatino Linotype"/>
        </w:rPr>
        <w:t xml:space="preserve">Por lo que </w:t>
      </w:r>
      <w:r w:rsidR="002E0EDE">
        <w:rPr>
          <w:rFonts w:ascii="Palatino Linotype" w:hAnsi="Palatino Linotype"/>
        </w:rPr>
        <w:t>concluyó</w:t>
      </w:r>
      <w:r>
        <w:rPr>
          <w:rFonts w:ascii="Palatino Linotype" w:hAnsi="Palatino Linotype"/>
        </w:rPr>
        <w:t xml:space="preserve"> diciendo</w:t>
      </w:r>
      <w:r w:rsidR="002E0EDE">
        <w:rPr>
          <w:rFonts w:ascii="Palatino Linotype" w:hAnsi="Palatino Linotype"/>
        </w:rPr>
        <w:t>,</w:t>
      </w:r>
      <w:r>
        <w:rPr>
          <w:rFonts w:ascii="Palatino Linotype" w:hAnsi="Palatino Linotype"/>
        </w:rPr>
        <w:t xml:space="preserve"> que </w:t>
      </w:r>
      <w:r w:rsidR="002E0EDE">
        <w:rPr>
          <w:rFonts w:ascii="Palatino Linotype" w:hAnsi="Palatino Linotype"/>
        </w:rPr>
        <w:t xml:space="preserve">a fin de salvaguardar el derecho de acceso a la información del particular, se le debió notificar mediante </w:t>
      </w:r>
      <w:r>
        <w:rPr>
          <w:rFonts w:ascii="Palatino Linotype" w:hAnsi="Palatino Linotype"/>
        </w:rPr>
        <w:t xml:space="preserve">el resolutivo </w:t>
      </w:r>
      <w:r w:rsidR="00030027">
        <w:rPr>
          <w:rFonts w:ascii="Palatino Linotype" w:hAnsi="Palatino Linotype"/>
        </w:rPr>
        <w:t>CUARTO</w:t>
      </w:r>
      <w:r>
        <w:rPr>
          <w:rFonts w:ascii="Palatino Linotype" w:hAnsi="Palatino Linotype"/>
        </w:rPr>
        <w:t xml:space="preserve"> </w:t>
      </w:r>
      <w:r w:rsidR="002E0EDE">
        <w:rPr>
          <w:rFonts w:ascii="Palatino Linotype" w:hAnsi="Palatino Linotype"/>
        </w:rPr>
        <w:t>que</w:t>
      </w:r>
      <w:r>
        <w:rPr>
          <w:rFonts w:ascii="Palatino Linotype" w:hAnsi="Palatino Linotype"/>
        </w:rPr>
        <w:t xml:space="preserve"> podía interponer recurso de inconformidad ante el </w:t>
      </w:r>
      <w:r w:rsidRPr="00207478">
        <w:rPr>
          <w:rFonts w:ascii="Palatino Linotype" w:hAnsi="Palatino Linotype"/>
        </w:rPr>
        <w:t>Instituto Nacional de Transparencia, Acceso a la Información y Protección de Datos Personales</w:t>
      </w:r>
      <w:r>
        <w:rPr>
          <w:rFonts w:ascii="Palatino Linotype" w:hAnsi="Palatino Linotype"/>
        </w:rPr>
        <w:t xml:space="preserve"> (INAI) o ante el Poder Judicial de la Federación con base en lo dispuesto en los artículos 196 de la Ley de Transparencia y Acceso a la Información Pública </w:t>
      </w:r>
      <w:r>
        <w:rPr>
          <w:rFonts w:ascii="Palatino Linotype" w:hAnsi="Palatino Linotype"/>
        </w:rPr>
        <w:lastRenderedPageBreak/>
        <w:t>del Estado de México de México y Municipios, 159 y 160 de la Ley General de Transparencia y Acceso a la Información Pública.</w:t>
      </w:r>
    </w:p>
    <w:p w14:paraId="4A3A0639" w14:textId="77777777" w:rsidR="006E55BA" w:rsidRDefault="006E55BA" w:rsidP="002E0EDE">
      <w:pPr>
        <w:spacing w:before="120" w:after="240" w:line="360" w:lineRule="auto"/>
        <w:jc w:val="both"/>
        <w:rPr>
          <w:rFonts w:ascii="Palatino Linotype" w:hAnsi="Palatino Linotyp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7C2AA3" w:rsidRPr="00506B07" w14:paraId="28BCC321" w14:textId="77777777" w:rsidTr="007C2AA3">
        <w:trPr>
          <w:jc w:val="center"/>
        </w:trPr>
        <w:tc>
          <w:tcPr>
            <w:tcW w:w="4414" w:type="dxa"/>
          </w:tcPr>
          <w:p w14:paraId="1A18A5B4" w14:textId="2D8636EC" w:rsidR="007C2AA3" w:rsidRPr="00506B07" w:rsidRDefault="007C2AA3" w:rsidP="00A55065">
            <w:pPr>
              <w:jc w:val="center"/>
              <w:rPr>
                <w:rFonts w:ascii="Palatino Linotype" w:hAnsi="Palatino Linotype"/>
                <w:sz w:val="24"/>
                <w:szCs w:val="24"/>
              </w:rPr>
            </w:pPr>
            <w:r w:rsidRPr="00506B07">
              <w:rPr>
                <w:rFonts w:ascii="Palatino Linotype" w:hAnsi="Palatino Linotype"/>
                <w:b/>
                <w:sz w:val="24"/>
                <w:szCs w:val="24"/>
              </w:rPr>
              <w:t>Javier Martínez Cruz</w:t>
            </w:r>
          </w:p>
        </w:tc>
      </w:tr>
      <w:tr w:rsidR="007C2AA3" w:rsidRPr="00506B07" w14:paraId="29F9E988" w14:textId="77777777" w:rsidTr="007C2AA3">
        <w:trPr>
          <w:jc w:val="center"/>
        </w:trPr>
        <w:tc>
          <w:tcPr>
            <w:tcW w:w="4414" w:type="dxa"/>
          </w:tcPr>
          <w:p w14:paraId="3C999C29" w14:textId="77777777" w:rsidR="007C2AA3" w:rsidRDefault="007C2AA3" w:rsidP="00515268">
            <w:pPr>
              <w:jc w:val="center"/>
              <w:rPr>
                <w:rFonts w:ascii="Palatino Linotype" w:hAnsi="Palatino Linotype"/>
                <w:b/>
                <w:sz w:val="24"/>
                <w:szCs w:val="24"/>
              </w:rPr>
            </w:pPr>
            <w:r w:rsidRPr="00506B07">
              <w:rPr>
                <w:rFonts w:ascii="Palatino Linotype" w:hAnsi="Palatino Linotype"/>
                <w:b/>
                <w:sz w:val="24"/>
                <w:szCs w:val="24"/>
              </w:rPr>
              <w:t>Comisionado</w:t>
            </w:r>
          </w:p>
          <w:p w14:paraId="6C969257" w14:textId="245F7667" w:rsidR="00620FDF" w:rsidRPr="00506B07" w:rsidRDefault="00620FDF" w:rsidP="00515268">
            <w:pPr>
              <w:jc w:val="center"/>
              <w:rPr>
                <w:rFonts w:ascii="Palatino Linotype" w:hAnsi="Palatino Linotype"/>
                <w:sz w:val="24"/>
                <w:szCs w:val="24"/>
              </w:rPr>
            </w:pPr>
            <w:r>
              <w:rPr>
                <w:rFonts w:ascii="Palatino Linotype" w:hAnsi="Palatino Linotype"/>
                <w:b/>
                <w:sz w:val="24"/>
                <w:szCs w:val="24"/>
              </w:rPr>
              <w:t>(Rúbrica)</w:t>
            </w:r>
          </w:p>
        </w:tc>
      </w:tr>
    </w:tbl>
    <w:p w14:paraId="13E4327C" w14:textId="4A200F5E" w:rsidR="00FC21AA" w:rsidRDefault="00FC21AA" w:rsidP="003A5148">
      <w:pPr>
        <w:tabs>
          <w:tab w:val="left" w:pos="1870"/>
        </w:tabs>
        <w:spacing w:before="240" w:after="240" w:line="360" w:lineRule="auto"/>
      </w:pPr>
    </w:p>
    <w:sectPr w:rsidR="00FC21AA" w:rsidSect="00530B6C">
      <w:headerReference w:type="default" r:id="rId8"/>
      <w:footerReference w:type="default" r:id="rId9"/>
      <w:pgSz w:w="12240" w:h="15840"/>
      <w:pgMar w:top="1701" w:right="1134" w:bottom="22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264DA" w14:textId="77777777" w:rsidR="00AD6D08" w:rsidRDefault="00AD6D08" w:rsidP="00C80F8C">
      <w:r>
        <w:separator/>
      </w:r>
    </w:p>
  </w:endnote>
  <w:endnote w:type="continuationSeparator" w:id="0">
    <w:p w14:paraId="3690A3A3" w14:textId="77777777" w:rsidR="00AD6D08" w:rsidRDefault="00AD6D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szCs w:val="20"/>
      </w:rPr>
      <w:id w:val="-58412859"/>
      <w:docPartObj>
        <w:docPartGallery w:val="Page Numbers (Bottom of Page)"/>
        <w:docPartUnique/>
      </w:docPartObj>
    </w:sdtPr>
    <w:sdtEndPr/>
    <w:sdtContent>
      <w:sdt>
        <w:sdtPr>
          <w:rPr>
            <w:rFonts w:ascii="Palatino Linotype" w:hAnsi="Palatino Linotype"/>
            <w:sz w:val="20"/>
            <w:szCs w:val="20"/>
          </w:rPr>
          <w:id w:val="-1769616900"/>
          <w:docPartObj>
            <w:docPartGallery w:val="Page Numbers (Top of Page)"/>
            <w:docPartUnique/>
          </w:docPartObj>
        </w:sdtPr>
        <w:sdtEndPr/>
        <w:sdtContent>
          <w:p w14:paraId="6C83CB24" w14:textId="782C5DDA" w:rsidR="003A5148" w:rsidRPr="003A5148" w:rsidRDefault="003A5148" w:rsidP="003A5148">
            <w:pPr>
              <w:pStyle w:val="Piedepgina"/>
              <w:jc w:val="right"/>
              <w:rPr>
                <w:rFonts w:ascii="Palatino Linotype" w:hAnsi="Palatino Linotype"/>
                <w:sz w:val="20"/>
                <w:szCs w:val="20"/>
              </w:rPr>
            </w:pPr>
            <w:r w:rsidRPr="003A5148">
              <w:rPr>
                <w:rFonts w:ascii="Palatino Linotype" w:hAnsi="Palatino Linotype"/>
                <w:sz w:val="20"/>
                <w:szCs w:val="20"/>
                <w:lang w:val="es-ES"/>
              </w:rPr>
              <w:t xml:space="preserve">Página </w:t>
            </w:r>
            <w:r w:rsidRPr="003A5148">
              <w:rPr>
                <w:rFonts w:ascii="Palatino Linotype" w:hAnsi="Palatino Linotype"/>
                <w:b/>
                <w:bCs/>
                <w:sz w:val="20"/>
                <w:szCs w:val="20"/>
              </w:rPr>
              <w:fldChar w:fldCharType="begin"/>
            </w:r>
            <w:r w:rsidRPr="003A5148">
              <w:rPr>
                <w:rFonts w:ascii="Palatino Linotype" w:hAnsi="Palatino Linotype"/>
                <w:b/>
                <w:bCs/>
                <w:sz w:val="20"/>
                <w:szCs w:val="20"/>
              </w:rPr>
              <w:instrText>PAGE</w:instrText>
            </w:r>
            <w:r w:rsidRPr="003A5148">
              <w:rPr>
                <w:rFonts w:ascii="Palatino Linotype" w:hAnsi="Palatino Linotype"/>
                <w:b/>
                <w:bCs/>
                <w:sz w:val="20"/>
                <w:szCs w:val="20"/>
              </w:rPr>
              <w:fldChar w:fldCharType="separate"/>
            </w:r>
            <w:r w:rsidR="00F5007B">
              <w:rPr>
                <w:rFonts w:ascii="Palatino Linotype" w:hAnsi="Palatino Linotype"/>
                <w:b/>
                <w:bCs/>
                <w:noProof/>
                <w:sz w:val="20"/>
                <w:szCs w:val="20"/>
              </w:rPr>
              <w:t>5</w:t>
            </w:r>
            <w:r w:rsidRPr="003A5148">
              <w:rPr>
                <w:rFonts w:ascii="Palatino Linotype" w:hAnsi="Palatino Linotype"/>
                <w:b/>
                <w:bCs/>
                <w:sz w:val="20"/>
                <w:szCs w:val="20"/>
              </w:rPr>
              <w:fldChar w:fldCharType="end"/>
            </w:r>
            <w:r w:rsidRPr="003A5148">
              <w:rPr>
                <w:rFonts w:ascii="Palatino Linotype" w:hAnsi="Palatino Linotype"/>
                <w:sz w:val="20"/>
                <w:szCs w:val="20"/>
                <w:lang w:val="es-ES"/>
              </w:rPr>
              <w:t xml:space="preserve"> de </w:t>
            </w:r>
            <w:r w:rsidRPr="003A5148">
              <w:rPr>
                <w:rFonts w:ascii="Palatino Linotype" w:hAnsi="Palatino Linotype"/>
                <w:b/>
                <w:bCs/>
                <w:sz w:val="20"/>
                <w:szCs w:val="20"/>
              </w:rPr>
              <w:fldChar w:fldCharType="begin"/>
            </w:r>
            <w:r w:rsidRPr="003A5148">
              <w:rPr>
                <w:rFonts w:ascii="Palatino Linotype" w:hAnsi="Palatino Linotype"/>
                <w:b/>
                <w:bCs/>
                <w:sz w:val="20"/>
                <w:szCs w:val="20"/>
              </w:rPr>
              <w:instrText>NUMPAGES</w:instrText>
            </w:r>
            <w:r w:rsidRPr="003A5148">
              <w:rPr>
                <w:rFonts w:ascii="Palatino Linotype" w:hAnsi="Palatino Linotype"/>
                <w:b/>
                <w:bCs/>
                <w:sz w:val="20"/>
                <w:szCs w:val="20"/>
              </w:rPr>
              <w:fldChar w:fldCharType="separate"/>
            </w:r>
            <w:r w:rsidR="00F5007B">
              <w:rPr>
                <w:rFonts w:ascii="Palatino Linotype" w:hAnsi="Palatino Linotype"/>
                <w:b/>
                <w:bCs/>
                <w:noProof/>
                <w:sz w:val="20"/>
                <w:szCs w:val="20"/>
              </w:rPr>
              <w:t>5</w:t>
            </w:r>
            <w:r w:rsidRPr="003A5148">
              <w:rPr>
                <w:rFonts w:ascii="Palatino Linotype" w:hAnsi="Palatino Linotype"/>
                <w:b/>
                <w:bCs/>
                <w:sz w:val="20"/>
                <w:szCs w:val="20"/>
              </w:rPr>
              <w:fldChar w:fldCharType="end"/>
            </w:r>
          </w:p>
        </w:sdtContent>
      </w:sdt>
    </w:sdtContent>
  </w:sdt>
  <w:p w14:paraId="59CACCDA" w14:textId="5CE27EEE" w:rsidR="003A5148" w:rsidRDefault="003A5148">
    <w:pPr>
      <w:pStyle w:val="Piedepgina"/>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B7D89" w14:textId="77777777" w:rsidR="00AD6D08" w:rsidRDefault="00AD6D08" w:rsidP="00C80F8C">
      <w:r>
        <w:separator/>
      </w:r>
    </w:p>
  </w:footnote>
  <w:footnote w:type="continuationSeparator" w:id="0">
    <w:p w14:paraId="5ABBB047" w14:textId="77777777" w:rsidR="00AD6D08" w:rsidRDefault="00AD6D08" w:rsidP="00C80F8C">
      <w:r>
        <w:continuationSeparator/>
      </w:r>
    </w:p>
  </w:footnote>
  <w:footnote w:id="1">
    <w:p w14:paraId="681AD229" w14:textId="77777777" w:rsidR="00F90894" w:rsidRPr="003A5148" w:rsidRDefault="00F90894" w:rsidP="00F90894">
      <w:pPr>
        <w:pStyle w:val="Textonotapie"/>
        <w:jc w:val="both"/>
        <w:rPr>
          <w:rFonts w:ascii="Palatino Linotype" w:hAnsi="Palatino Linotype"/>
          <w:i/>
          <w:sz w:val="18"/>
          <w:szCs w:val="18"/>
        </w:rPr>
      </w:pPr>
      <w:r>
        <w:rPr>
          <w:rStyle w:val="Refdenotaalpie"/>
        </w:rPr>
        <w:footnoteRef/>
      </w:r>
      <w:r>
        <w:t xml:space="preserve"> </w:t>
      </w:r>
      <w:r w:rsidRPr="003A5148">
        <w:rPr>
          <w:rFonts w:ascii="Palatino Linotype" w:hAnsi="Palatino Linotype"/>
          <w:i/>
          <w:sz w:val="18"/>
          <w:szCs w:val="18"/>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Está prohibida la esclavitud en los Estados Unidos Mexicanos. Los esclavos del extranjero que entren al territorio nacional alcanzarán, por este solo hecho, su libertad y la protección de las leyes.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footnote>
  <w:footnote w:id="2">
    <w:p w14:paraId="7CA0E719" w14:textId="77777777" w:rsidR="001D3EA3" w:rsidRPr="003A5148" w:rsidRDefault="001D3EA3" w:rsidP="001D3EA3">
      <w:pPr>
        <w:pStyle w:val="Textonotapie"/>
        <w:jc w:val="both"/>
        <w:rPr>
          <w:rFonts w:ascii="Palatino Linotype" w:hAnsi="Palatino Linotype"/>
          <w:i/>
          <w:sz w:val="18"/>
          <w:szCs w:val="18"/>
        </w:rPr>
      </w:pPr>
      <w:r w:rsidRPr="003A5148">
        <w:rPr>
          <w:rStyle w:val="Refdenotaalpie"/>
          <w:sz w:val="18"/>
          <w:szCs w:val="18"/>
        </w:rPr>
        <w:footnoteRef/>
      </w:r>
      <w:r w:rsidRPr="003A5148">
        <w:rPr>
          <w:sz w:val="18"/>
          <w:szCs w:val="18"/>
        </w:rPr>
        <w:t xml:space="preserve"> </w:t>
      </w:r>
      <w:r w:rsidRPr="003A5148">
        <w:rPr>
          <w:rFonts w:ascii="Palatino Linotype" w:hAnsi="Palatino Linotype"/>
          <w:i/>
          <w:sz w:val="18"/>
          <w:szCs w:val="18"/>
        </w:rPr>
        <w:t xml:space="preserve">Cfr. </w:t>
      </w:r>
      <w:r w:rsidRPr="003A5148">
        <w:rPr>
          <w:rFonts w:ascii="Palatino Linotype" w:hAnsi="Palatino Linotype"/>
          <w:sz w:val="18"/>
          <w:szCs w:val="18"/>
        </w:rPr>
        <w:t xml:space="preserve">Tesis Aislada de la Décima Época P. II/2017 (10a.) </w:t>
      </w:r>
      <w:r w:rsidRPr="003A5148">
        <w:rPr>
          <w:rFonts w:ascii="Palatino Linotype" w:hAnsi="Palatino Linotype"/>
          <w:i/>
          <w:sz w:val="18"/>
          <w:szCs w:val="18"/>
        </w:rPr>
        <w:t>INTERPRETACIÓN CONFORME. SUS ALCANCES EN RELACIÓN CON EL PRINCIPIO DE INTERPRETACIÓN MÁS FAVORABLE A LA PERSONA. El principio de interpretación conforme se fundamenta en el diverso de conservación legal, lo que supone que dicha interpretación está limitada por dos aspectos: uno subjetivo y otro objetivo; por un lado, aquél encuentra su límite en la voluntad del legislador, es decir, se relaciona con la funcionalidad y el alcance que el legislador imprimió a la norma y, por otro, el criterio objetivo es el resultado final o el propio texto de la norma en cuestión. En el caso de la voluntad objetiva del legislador, la interpretación conforme puede realizarse siempre y cuando el sentido normativo resultante de la ley no conlleve una distorsión, sino una atemperación o adecuación frente al texto original de la disposición normativa impugnada; asimismo, el principio de interpretación conforme se fundamenta en una presunción general de validez de las normas que tiene como propósito la conservación de las leyes; por ello, se trata de un método que opera antes de estimar inconstitucional o inconvencional un precepto legal. En ese sentido, sólo cuando exista una clara incompatibilidad o contradicción</w:t>
      </w:r>
      <w:bookmarkStart w:id="0" w:name="_GoBack"/>
      <w:r w:rsidRPr="003A5148">
        <w:rPr>
          <w:rFonts w:ascii="Palatino Linotype" w:hAnsi="Palatino Linotype"/>
          <w:i/>
          <w:sz w:val="18"/>
          <w:szCs w:val="18"/>
        </w:rPr>
        <w:t xml:space="preserve"> </w:t>
      </w:r>
      <w:bookmarkEnd w:id="0"/>
      <w:r w:rsidRPr="003A5148">
        <w:rPr>
          <w:rFonts w:ascii="Palatino Linotype" w:hAnsi="Palatino Linotype"/>
          <w:i/>
          <w:sz w:val="18"/>
          <w:szCs w:val="18"/>
        </w:rPr>
        <w:t>que se torne insalvable entre una norma ordinaria y la Constitución Política de los Estados Unidos Mexicanos o algún instrumento internacional, se realizará una declaración de inconstitucionalidad o, en su caso, de inconvencionalidad; por tanto, el operador jurídico, al utilizar el principio de interpretación conforme, deberá agotar todas las posibilidades de encontrar en la disposición normativa impugnada un significado que la haga compatible con la Constitución o con algún instrumento internacional. Al respecto, dicha técnica interpretativa está íntimamente vinculada con el principio de interpretación más favorable a la persona, el cual obliga a maximizar la interpretación conforme de todas las normas expedidas por el legislador al texto constitucional y a los instrumentos internacionales, en aquellos escenarios en los que permita la efectividad de los derechos humanos de las personas frente al vacío legislativo que previsiblemente pudiera ocasionar la declaración de inconstitucionalidad de la disposición de observancia general. Por tanto, mientras la interpretación conforme supone armonizar su contenido con el texto constitucional, el principio de interpretación más favorable a la persona lo potencia significativamente, al obligar al operador jurídico a optar por la disposición que más beneficie a la persona y en todo caso a la sociedad.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5C7E868E" w:rsidR="00634485" w:rsidRPr="00A81140" w:rsidRDefault="00AD6D08" w:rsidP="00C80F8C">
    <w:pPr>
      <w:pStyle w:val="Encabezado"/>
      <w:tabs>
        <w:tab w:val="clear" w:pos="4252"/>
        <w:tab w:val="clear" w:pos="8504"/>
        <w:tab w:val="left" w:pos="2326"/>
      </w:tabs>
      <w:rPr>
        <w:rFonts w:ascii="Palatino Linotype" w:hAnsi="Palatino Linotype"/>
      </w:rPr>
    </w:pPr>
    <w:sdt>
      <w:sdtPr>
        <w:rPr>
          <w:rFonts w:ascii="Palatino Linotype" w:hAnsi="Palatino Linotype"/>
        </w:rPr>
        <w:id w:val="-1801365915"/>
        <w:docPartObj>
          <w:docPartGallery w:val="Watermarks"/>
          <w:docPartUnique/>
        </w:docPartObj>
      </w:sdtPr>
      <w:sdtEndPr/>
      <w:sdtContent>
        <w:r>
          <w:rPr>
            <w:rFonts w:ascii="Palatino Linotype" w:hAnsi="Palatino Linotype"/>
          </w:rPr>
          <w:pict w14:anchorId="24FF5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margin-left:0;margin-top:0;width:578.85pt;height:124pt;rotation:315;z-index:-251658240;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sdtContent>
    </w:sdt>
    <w:r w:rsidR="00B53290">
      <w:rPr>
        <w:rFonts w:ascii="Palatino Linotype" w:hAnsi="Palatino Linotype"/>
        <w:noProof/>
        <w:lang w:val="es-MX" w:eastAsia="es-MX"/>
      </w:rPr>
      <w:drawing>
        <wp:anchor distT="0" distB="0" distL="114300" distR="114300" simplePos="0" relativeHeight="251657216"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BC213F2" w14:textId="3A79E98E" w:rsidR="00F42A73" w:rsidRPr="00C51F7E" w:rsidRDefault="001928EC" w:rsidP="00F42A73">
    <w:pPr>
      <w:pStyle w:val="Encabezado"/>
      <w:jc w:val="right"/>
      <w:rPr>
        <w:rFonts w:ascii="Palatino Linotype" w:hAnsi="Palatino Linotype"/>
      </w:rPr>
    </w:pPr>
    <w:r>
      <w:rPr>
        <w:rFonts w:ascii="Palatino Linotype" w:hAnsi="Palatino Linotype"/>
      </w:rPr>
      <w:t>VOTO</w:t>
    </w:r>
    <w:r w:rsidR="00F42A73" w:rsidRPr="00885E74">
      <w:rPr>
        <w:rFonts w:ascii="Palatino Linotype" w:hAnsi="Palatino Linotype"/>
      </w:rPr>
      <w:t xml:space="preserve"> </w:t>
    </w:r>
    <w:r w:rsidR="00F42A73" w:rsidRPr="00C51F7E">
      <w:rPr>
        <w:rFonts w:ascii="Palatino Linotype" w:hAnsi="Palatino Linotype"/>
      </w:rPr>
      <w:t xml:space="preserve">PARTICULAR </w:t>
    </w:r>
  </w:p>
  <w:p w14:paraId="2F83D6AC" w14:textId="45DA1173" w:rsidR="00F42A73" w:rsidRDefault="00F42A73" w:rsidP="00F42A73">
    <w:pPr>
      <w:pStyle w:val="Encabezado"/>
      <w:jc w:val="right"/>
      <w:rPr>
        <w:rFonts w:ascii="Palatino Linotype" w:hAnsi="Palatino Linotype"/>
      </w:rPr>
    </w:pPr>
    <w:r w:rsidRPr="00C51F7E">
      <w:rPr>
        <w:rFonts w:ascii="Palatino Linotype" w:hAnsi="Palatino Linotype"/>
      </w:rPr>
      <w:t xml:space="preserve">RECURSO DE REVISIÓN </w:t>
    </w:r>
    <w:r w:rsidR="000103F8">
      <w:rPr>
        <w:rFonts w:ascii="Palatino Linotype" w:hAnsi="Palatino Linotype" w:cs="Arial"/>
        <w:bCs/>
        <w:lang w:eastAsia="es-MX"/>
      </w:rPr>
      <w:t>0</w:t>
    </w:r>
    <w:r w:rsidR="00790D01">
      <w:rPr>
        <w:rFonts w:ascii="Palatino Linotype" w:hAnsi="Palatino Linotype" w:cs="Arial"/>
        <w:bCs/>
        <w:lang w:eastAsia="es-MX"/>
      </w:rPr>
      <w:t>2</w:t>
    </w:r>
    <w:r w:rsidR="00955984">
      <w:rPr>
        <w:rFonts w:ascii="Palatino Linotype" w:hAnsi="Palatino Linotype" w:cs="Arial"/>
        <w:bCs/>
        <w:lang w:eastAsia="es-MX"/>
      </w:rPr>
      <w:t>542</w:t>
    </w:r>
    <w:r w:rsidR="00790D01">
      <w:rPr>
        <w:rFonts w:ascii="Palatino Linotype" w:hAnsi="Palatino Linotype" w:cs="Arial"/>
        <w:bCs/>
        <w:lang w:eastAsia="es-MX"/>
      </w:rPr>
      <w:t>/INFOEM/IP/RR/201</w:t>
    </w:r>
    <w:r w:rsidR="00DF1A6A">
      <w:rPr>
        <w:rFonts w:ascii="Palatino Linotype" w:hAnsi="Palatino Linotype" w:cs="Arial"/>
        <w:bCs/>
        <w:lang w:eastAsia="es-MX"/>
      </w:rPr>
      <w:t>9</w:t>
    </w:r>
    <w:r w:rsidR="00910E6C">
      <w:rPr>
        <w:rFonts w:ascii="Palatino Linotype" w:hAnsi="Palatino Linotype" w:cs="Arial"/>
        <w:bCs/>
        <w:lang w:eastAsia="es-MX"/>
      </w:rPr>
      <w:t xml:space="preserve"> </w:t>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26E3"/>
    <w:multiLevelType w:val="hybridMultilevel"/>
    <w:tmpl w:val="1BC003A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29CD662B"/>
    <w:multiLevelType w:val="hybridMultilevel"/>
    <w:tmpl w:val="FD22C30A"/>
    <w:lvl w:ilvl="0" w:tplc="080A0005">
      <w:start w:val="1"/>
      <w:numFmt w:val="bullet"/>
      <w:lvlText w:val=""/>
      <w:lvlJc w:val="left"/>
      <w:pPr>
        <w:ind w:left="1080" w:hanging="72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72545B"/>
    <w:multiLevelType w:val="hybridMultilevel"/>
    <w:tmpl w:val="A302F512"/>
    <w:lvl w:ilvl="0" w:tplc="AE9404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0770275"/>
    <w:multiLevelType w:val="hybridMultilevel"/>
    <w:tmpl w:val="071AE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0009A9"/>
    <w:multiLevelType w:val="hybridMultilevel"/>
    <w:tmpl w:val="B75829E2"/>
    <w:lvl w:ilvl="0" w:tplc="080A0015">
      <w:start w:val="1"/>
      <w:numFmt w:val="upperLetter"/>
      <w:lvlText w:val="%1."/>
      <w:lvlJc w:val="left"/>
      <w:pPr>
        <w:ind w:left="3900" w:hanging="360"/>
      </w:pPr>
      <w:rPr>
        <w:rFonts w:hint="default"/>
      </w:rPr>
    </w:lvl>
    <w:lvl w:ilvl="1" w:tplc="080A0003">
      <w:start w:val="1"/>
      <w:numFmt w:val="bullet"/>
      <w:lvlText w:val="o"/>
      <w:lvlJc w:val="left"/>
      <w:pPr>
        <w:ind w:left="4620" w:hanging="360"/>
      </w:pPr>
      <w:rPr>
        <w:rFonts w:ascii="Courier New" w:hAnsi="Courier New" w:cs="Courier New" w:hint="default"/>
      </w:rPr>
    </w:lvl>
    <w:lvl w:ilvl="2" w:tplc="080A0005" w:tentative="1">
      <w:start w:val="1"/>
      <w:numFmt w:val="bullet"/>
      <w:lvlText w:val=""/>
      <w:lvlJc w:val="left"/>
      <w:pPr>
        <w:ind w:left="5340" w:hanging="360"/>
      </w:pPr>
      <w:rPr>
        <w:rFonts w:ascii="Wingdings" w:hAnsi="Wingdings" w:hint="default"/>
      </w:rPr>
    </w:lvl>
    <w:lvl w:ilvl="3" w:tplc="080A0001" w:tentative="1">
      <w:start w:val="1"/>
      <w:numFmt w:val="bullet"/>
      <w:lvlText w:val=""/>
      <w:lvlJc w:val="left"/>
      <w:pPr>
        <w:ind w:left="6060" w:hanging="360"/>
      </w:pPr>
      <w:rPr>
        <w:rFonts w:ascii="Symbol" w:hAnsi="Symbol" w:hint="default"/>
      </w:rPr>
    </w:lvl>
    <w:lvl w:ilvl="4" w:tplc="080A0003" w:tentative="1">
      <w:start w:val="1"/>
      <w:numFmt w:val="bullet"/>
      <w:lvlText w:val="o"/>
      <w:lvlJc w:val="left"/>
      <w:pPr>
        <w:ind w:left="6780" w:hanging="360"/>
      </w:pPr>
      <w:rPr>
        <w:rFonts w:ascii="Courier New" w:hAnsi="Courier New" w:cs="Courier New" w:hint="default"/>
      </w:rPr>
    </w:lvl>
    <w:lvl w:ilvl="5" w:tplc="080A0005" w:tentative="1">
      <w:start w:val="1"/>
      <w:numFmt w:val="bullet"/>
      <w:lvlText w:val=""/>
      <w:lvlJc w:val="left"/>
      <w:pPr>
        <w:ind w:left="7500" w:hanging="360"/>
      </w:pPr>
      <w:rPr>
        <w:rFonts w:ascii="Wingdings" w:hAnsi="Wingdings" w:hint="default"/>
      </w:rPr>
    </w:lvl>
    <w:lvl w:ilvl="6" w:tplc="080A0001" w:tentative="1">
      <w:start w:val="1"/>
      <w:numFmt w:val="bullet"/>
      <w:lvlText w:val=""/>
      <w:lvlJc w:val="left"/>
      <w:pPr>
        <w:ind w:left="8220" w:hanging="360"/>
      </w:pPr>
      <w:rPr>
        <w:rFonts w:ascii="Symbol" w:hAnsi="Symbol" w:hint="default"/>
      </w:rPr>
    </w:lvl>
    <w:lvl w:ilvl="7" w:tplc="080A0003" w:tentative="1">
      <w:start w:val="1"/>
      <w:numFmt w:val="bullet"/>
      <w:lvlText w:val="o"/>
      <w:lvlJc w:val="left"/>
      <w:pPr>
        <w:ind w:left="8940" w:hanging="360"/>
      </w:pPr>
      <w:rPr>
        <w:rFonts w:ascii="Courier New" w:hAnsi="Courier New" w:cs="Courier New" w:hint="default"/>
      </w:rPr>
    </w:lvl>
    <w:lvl w:ilvl="8" w:tplc="080A0005" w:tentative="1">
      <w:start w:val="1"/>
      <w:numFmt w:val="bullet"/>
      <w:lvlText w:val=""/>
      <w:lvlJc w:val="left"/>
      <w:pPr>
        <w:ind w:left="9660" w:hanging="360"/>
      </w:pPr>
      <w:rPr>
        <w:rFonts w:ascii="Wingdings" w:hAnsi="Wingdings" w:hint="default"/>
      </w:rPr>
    </w:lvl>
  </w:abstractNum>
  <w:abstractNum w:abstractNumId="5" w15:restartNumberingAfterBreak="0">
    <w:nsid w:val="5C590A6B"/>
    <w:multiLevelType w:val="hybridMultilevel"/>
    <w:tmpl w:val="9E489BC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D83211"/>
    <w:multiLevelType w:val="hybridMultilevel"/>
    <w:tmpl w:val="F9D0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03F8"/>
    <w:rsid w:val="000110B6"/>
    <w:rsid w:val="00012AB2"/>
    <w:rsid w:val="000165C7"/>
    <w:rsid w:val="00016EE5"/>
    <w:rsid w:val="00020108"/>
    <w:rsid w:val="000244D4"/>
    <w:rsid w:val="000252A3"/>
    <w:rsid w:val="00027543"/>
    <w:rsid w:val="00030027"/>
    <w:rsid w:val="000314C4"/>
    <w:rsid w:val="00041820"/>
    <w:rsid w:val="0004288C"/>
    <w:rsid w:val="00046740"/>
    <w:rsid w:val="000508AA"/>
    <w:rsid w:val="00053278"/>
    <w:rsid w:val="00053B84"/>
    <w:rsid w:val="000838C6"/>
    <w:rsid w:val="000840BE"/>
    <w:rsid w:val="0008477C"/>
    <w:rsid w:val="0008542A"/>
    <w:rsid w:val="000868F5"/>
    <w:rsid w:val="000879B4"/>
    <w:rsid w:val="000B0067"/>
    <w:rsid w:val="000B1E6A"/>
    <w:rsid w:val="000B36E9"/>
    <w:rsid w:val="000B3FFD"/>
    <w:rsid w:val="000B5C40"/>
    <w:rsid w:val="000C4453"/>
    <w:rsid w:val="000D626E"/>
    <w:rsid w:val="000D710B"/>
    <w:rsid w:val="000E76A6"/>
    <w:rsid w:val="0010019B"/>
    <w:rsid w:val="00105DA8"/>
    <w:rsid w:val="00110A70"/>
    <w:rsid w:val="0011251D"/>
    <w:rsid w:val="0012436A"/>
    <w:rsid w:val="001352AD"/>
    <w:rsid w:val="00143E74"/>
    <w:rsid w:val="00145629"/>
    <w:rsid w:val="00156361"/>
    <w:rsid w:val="00162EE0"/>
    <w:rsid w:val="001665B5"/>
    <w:rsid w:val="001706D8"/>
    <w:rsid w:val="00174717"/>
    <w:rsid w:val="00181E7B"/>
    <w:rsid w:val="00185575"/>
    <w:rsid w:val="001928EC"/>
    <w:rsid w:val="001B3177"/>
    <w:rsid w:val="001C2318"/>
    <w:rsid w:val="001C2489"/>
    <w:rsid w:val="001C62FB"/>
    <w:rsid w:val="001D2872"/>
    <w:rsid w:val="001D3EA3"/>
    <w:rsid w:val="001D5AEB"/>
    <w:rsid w:val="001D5D6B"/>
    <w:rsid w:val="001E6F45"/>
    <w:rsid w:val="001F5CA0"/>
    <w:rsid w:val="00206D85"/>
    <w:rsid w:val="002119E7"/>
    <w:rsid w:val="00214282"/>
    <w:rsid w:val="00214AA1"/>
    <w:rsid w:val="00222980"/>
    <w:rsid w:val="00223A0E"/>
    <w:rsid w:val="00224532"/>
    <w:rsid w:val="00224CE2"/>
    <w:rsid w:val="00225AF8"/>
    <w:rsid w:val="00230C89"/>
    <w:rsid w:val="00242224"/>
    <w:rsid w:val="00246378"/>
    <w:rsid w:val="00264F22"/>
    <w:rsid w:val="0026560C"/>
    <w:rsid w:val="00267C5C"/>
    <w:rsid w:val="002731A7"/>
    <w:rsid w:val="002A1C5F"/>
    <w:rsid w:val="002A2F7E"/>
    <w:rsid w:val="002A3DF8"/>
    <w:rsid w:val="002A5E42"/>
    <w:rsid w:val="002B6F74"/>
    <w:rsid w:val="002C7665"/>
    <w:rsid w:val="002D1549"/>
    <w:rsid w:val="002D56A8"/>
    <w:rsid w:val="002E0611"/>
    <w:rsid w:val="002E0EDE"/>
    <w:rsid w:val="002E5289"/>
    <w:rsid w:val="002F077A"/>
    <w:rsid w:val="002F1536"/>
    <w:rsid w:val="002F4FE5"/>
    <w:rsid w:val="002F52FC"/>
    <w:rsid w:val="002F627F"/>
    <w:rsid w:val="003023B7"/>
    <w:rsid w:val="00310936"/>
    <w:rsid w:val="0031287C"/>
    <w:rsid w:val="0031370C"/>
    <w:rsid w:val="00320CEE"/>
    <w:rsid w:val="00322791"/>
    <w:rsid w:val="003327E5"/>
    <w:rsid w:val="00336B3B"/>
    <w:rsid w:val="0034792A"/>
    <w:rsid w:val="0035024A"/>
    <w:rsid w:val="003520D1"/>
    <w:rsid w:val="00360A9E"/>
    <w:rsid w:val="0036344C"/>
    <w:rsid w:val="00365E6D"/>
    <w:rsid w:val="0036720F"/>
    <w:rsid w:val="003929C8"/>
    <w:rsid w:val="00393DFF"/>
    <w:rsid w:val="00397F22"/>
    <w:rsid w:val="003A5148"/>
    <w:rsid w:val="003A5932"/>
    <w:rsid w:val="003A6550"/>
    <w:rsid w:val="003B04D0"/>
    <w:rsid w:val="003B3487"/>
    <w:rsid w:val="003B7B45"/>
    <w:rsid w:val="003C1A31"/>
    <w:rsid w:val="003C25BA"/>
    <w:rsid w:val="003D3640"/>
    <w:rsid w:val="003E15BB"/>
    <w:rsid w:val="003E2138"/>
    <w:rsid w:val="003E2904"/>
    <w:rsid w:val="003E3F1B"/>
    <w:rsid w:val="003F7550"/>
    <w:rsid w:val="00411BEF"/>
    <w:rsid w:val="004123E0"/>
    <w:rsid w:val="00413D4F"/>
    <w:rsid w:val="00415E47"/>
    <w:rsid w:val="00416752"/>
    <w:rsid w:val="00433DE7"/>
    <w:rsid w:val="00445E66"/>
    <w:rsid w:val="004461DC"/>
    <w:rsid w:val="00450C4A"/>
    <w:rsid w:val="0045210B"/>
    <w:rsid w:val="00457B04"/>
    <w:rsid w:val="004665B2"/>
    <w:rsid w:val="0047000B"/>
    <w:rsid w:val="004736EF"/>
    <w:rsid w:val="00474020"/>
    <w:rsid w:val="004938EB"/>
    <w:rsid w:val="004A2128"/>
    <w:rsid w:val="004B471B"/>
    <w:rsid w:val="004B5A88"/>
    <w:rsid w:val="004C287E"/>
    <w:rsid w:val="004C691F"/>
    <w:rsid w:val="004D03CE"/>
    <w:rsid w:val="004D0A26"/>
    <w:rsid w:val="004D12BC"/>
    <w:rsid w:val="004D7534"/>
    <w:rsid w:val="004E6229"/>
    <w:rsid w:val="004F25ED"/>
    <w:rsid w:val="004F313C"/>
    <w:rsid w:val="004F3EAB"/>
    <w:rsid w:val="004F4FC6"/>
    <w:rsid w:val="00506B07"/>
    <w:rsid w:val="00515268"/>
    <w:rsid w:val="0051689B"/>
    <w:rsid w:val="00520D75"/>
    <w:rsid w:val="00530B6C"/>
    <w:rsid w:val="00534235"/>
    <w:rsid w:val="0053480A"/>
    <w:rsid w:val="00536192"/>
    <w:rsid w:val="00543BFC"/>
    <w:rsid w:val="00553A4E"/>
    <w:rsid w:val="00553E8C"/>
    <w:rsid w:val="0055728A"/>
    <w:rsid w:val="00560767"/>
    <w:rsid w:val="00561E48"/>
    <w:rsid w:val="00562D01"/>
    <w:rsid w:val="00572399"/>
    <w:rsid w:val="005736C6"/>
    <w:rsid w:val="0057477C"/>
    <w:rsid w:val="00575235"/>
    <w:rsid w:val="00587E2D"/>
    <w:rsid w:val="005944F4"/>
    <w:rsid w:val="005A04EF"/>
    <w:rsid w:val="005A1ADF"/>
    <w:rsid w:val="005C3D2F"/>
    <w:rsid w:val="005D1946"/>
    <w:rsid w:val="005E0676"/>
    <w:rsid w:val="005E1100"/>
    <w:rsid w:val="005E59BE"/>
    <w:rsid w:val="005F1990"/>
    <w:rsid w:val="005F2A59"/>
    <w:rsid w:val="005F58B1"/>
    <w:rsid w:val="006044E0"/>
    <w:rsid w:val="00616F7F"/>
    <w:rsid w:val="00620FDF"/>
    <w:rsid w:val="006218DC"/>
    <w:rsid w:val="006232F2"/>
    <w:rsid w:val="00625866"/>
    <w:rsid w:val="0063126D"/>
    <w:rsid w:val="00632F12"/>
    <w:rsid w:val="00634485"/>
    <w:rsid w:val="00635601"/>
    <w:rsid w:val="00643A81"/>
    <w:rsid w:val="00650AC9"/>
    <w:rsid w:val="0068304C"/>
    <w:rsid w:val="006841CD"/>
    <w:rsid w:val="00690859"/>
    <w:rsid w:val="00692923"/>
    <w:rsid w:val="006A14F0"/>
    <w:rsid w:val="006A4679"/>
    <w:rsid w:val="006A7B4E"/>
    <w:rsid w:val="006D47DB"/>
    <w:rsid w:val="006D6CA1"/>
    <w:rsid w:val="006D78EC"/>
    <w:rsid w:val="006E55BA"/>
    <w:rsid w:val="006E6389"/>
    <w:rsid w:val="006E7597"/>
    <w:rsid w:val="006F2FF6"/>
    <w:rsid w:val="006F30F8"/>
    <w:rsid w:val="006F35AF"/>
    <w:rsid w:val="006F4B28"/>
    <w:rsid w:val="00700C49"/>
    <w:rsid w:val="0070535D"/>
    <w:rsid w:val="00706F63"/>
    <w:rsid w:val="00710C9E"/>
    <w:rsid w:val="00717CA7"/>
    <w:rsid w:val="00731928"/>
    <w:rsid w:val="007337EF"/>
    <w:rsid w:val="00736C06"/>
    <w:rsid w:val="00737D20"/>
    <w:rsid w:val="00740B90"/>
    <w:rsid w:val="00753F2E"/>
    <w:rsid w:val="007614FF"/>
    <w:rsid w:val="007627EA"/>
    <w:rsid w:val="00766347"/>
    <w:rsid w:val="00766E4A"/>
    <w:rsid w:val="00772515"/>
    <w:rsid w:val="00783622"/>
    <w:rsid w:val="007867E1"/>
    <w:rsid w:val="00790D01"/>
    <w:rsid w:val="00790FC4"/>
    <w:rsid w:val="00797984"/>
    <w:rsid w:val="007A3E6E"/>
    <w:rsid w:val="007A57AC"/>
    <w:rsid w:val="007A7C9A"/>
    <w:rsid w:val="007C2AA3"/>
    <w:rsid w:val="007D690D"/>
    <w:rsid w:val="007E125E"/>
    <w:rsid w:val="007E4484"/>
    <w:rsid w:val="007E7FD2"/>
    <w:rsid w:val="007F288E"/>
    <w:rsid w:val="007F3153"/>
    <w:rsid w:val="008000D4"/>
    <w:rsid w:val="00803006"/>
    <w:rsid w:val="008071E6"/>
    <w:rsid w:val="00811C92"/>
    <w:rsid w:val="008127EE"/>
    <w:rsid w:val="00813388"/>
    <w:rsid w:val="00814254"/>
    <w:rsid w:val="0081574C"/>
    <w:rsid w:val="0081611A"/>
    <w:rsid w:val="0082281C"/>
    <w:rsid w:val="008273EF"/>
    <w:rsid w:val="00831DEC"/>
    <w:rsid w:val="00834C48"/>
    <w:rsid w:val="00845DA4"/>
    <w:rsid w:val="00847C65"/>
    <w:rsid w:val="0085746D"/>
    <w:rsid w:val="00863766"/>
    <w:rsid w:val="0088262E"/>
    <w:rsid w:val="008844F3"/>
    <w:rsid w:val="00885E74"/>
    <w:rsid w:val="008912DD"/>
    <w:rsid w:val="00892AFC"/>
    <w:rsid w:val="008A7301"/>
    <w:rsid w:val="008A7B64"/>
    <w:rsid w:val="008C0B6B"/>
    <w:rsid w:val="008C35FC"/>
    <w:rsid w:val="008C7C8C"/>
    <w:rsid w:val="008C7D47"/>
    <w:rsid w:val="008D1526"/>
    <w:rsid w:val="008D4FFD"/>
    <w:rsid w:val="008F27DC"/>
    <w:rsid w:val="008F54A9"/>
    <w:rsid w:val="008F6F33"/>
    <w:rsid w:val="0090405F"/>
    <w:rsid w:val="00905068"/>
    <w:rsid w:val="00910E6C"/>
    <w:rsid w:val="009239CD"/>
    <w:rsid w:val="00934418"/>
    <w:rsid w:val="00945179"/>
    <w:rsid w:val="00947E42"/>
    <w:rsid w:val="00955984"/>
    <w:rsid w:val="00957397"/>
    <w:rsid w:val="00972907"/>
    <w:rsid w:val="00975312"/>
    <w:rsid w:val="00975EB9"/>
    <w:rsid w:val="00992D8F"/>
    <w:rsid w:val="009A0DB8"/>
    <w:rsid w:val="009A3508"/>
    <w:rsid w:val="009C1772"/>
    <w:rsid w:val="009C5D86"/>
    <w:rsid w:val="009D0C13"/>
    <w:rsid w:val="009D3E62"/>
    <w:rsid w:val="009D4D96"/>
    <w:rsid w:val="009D60BD"/>
    <w:rsid w:val="009E780D"/>
    <w:rsid w:val="009F3BDC"/>
    <w:rsid w:val="009F4AC0"/>
    <w:rsid w:val="009F5290"/>
    <w:rsid w:val="00A02BDE"/>
    <w:rsid w:val="00A05C96"/>
    <w:rsid w:val="00A12C96"/>
    <w:rsid w:val="00A14869"/>
    <w:rsid w:val="00A1648C"/>
    <w:rsid w:val="00A166B1"/>
    <w:rsid w:val="00A323F3"/>
    <w:rsid w:val="00A33BE6"/>
    <w:rsid w:val="00A35F15"/>
    <w:rsid w:val="00A46E86"/>
    <w:rsid w:val="00A47380"/>
    <w:rsid w:val="00A47E54"/>
    <w:rsid w:val="00A47EAB"/>
    <w:rsid w:val="00A55065"/>
    <w:rsid w:val="00A648BC"/>
    <w:rsid w:val="00A71D9C"/>
    <w:rsid w:val="00A81140"/>
    <w:rsid w:val="00A829F4"/>
    <w:rsid w:val="00A83C13"/>
    <w:rsid w:val="00A91C86"/>
    <w:rsid w:val="00A94689"/>
    <w:rsid w:val="00A95B5D"/>
    <w:rsid w:val="00AA3B03"/>
    <w:rsid w:val="00AA4D18"/>
    <w:rsid w:val="00AA62EE"/>
    <w:rsid w:val="00AB54E9"/>
    <w:rsid w:val="00AB586E"/>
    <w:rsid w:val="00AC0E82"/>
    <w:rsid w:val="00AC5642"/>
    <w:rsid w:val="00AD65F6"/>
    <w:rsid w:val="00AD6D08"/>
    <w:rsid w:val="00AD7D29"/>
    <w:rsid w:val="00AE1AFE"/>
    <w:rsid w:val="00AE3C93"/>
    <w:rsid w:val="00AE63C8"/>
    <w:rsid w:val="00B00154"/>
    <w:rsid w:val="00B02CB0"/>
    <w:rsid w:val="00B03BF8"/>
    <w:rsid w:val="00B337A5"/>
    <w:rsid w:val="00B352B3"/>
    <w:rsid w:val="00B53290"/>
    <w:rsid w:val="00B5380B"/>
    <w:rsid w:val="00B56FA8"/>
    <w:rsid w:val="00B62D27"/>
    <w:rsid w:val="00B72F71"/>
    <w:rsid w:val="00B73A65"/>
    <w:rsid w:val="00B74248"/>
    <w:rsid w:val="00B94089"/>
    <w:rsid w:val="00B94599"/>
    <w:rsid w:val="00BA0EE2"/>
    <w:rsid w:val="00BA0F2E"/>
    <w:rsid w:val="00BA1166"/>
    <w:rsid w:val="00BA55D5"/>
    <w:rsid w:val="00BB0D58"/>
    <w:rsid w:val="00BB6390"/>
    <w:rsid w:val="00BB7295"/>
    <w:rsid w:val="00BC0E85"/>
    <w:rsid w:val="00BC424B"/>
    <w:rsid w:val="00BD7483"/>
    <w:rsid w:val="00BE3051"/>
    <w:rsid w:val="00BE4CFB"/>
    <w:rsid w:val="00BF033B"/>
    <w:rsid w:val="00BF271C"/>
    <w:rsid w:val="00BF4F5B"/>
    <w:rsid w:val="00C06EE2"/>
    <w:rsid w:val="00C22B6E"/>
    <w:rsid w:val="00C30CA2"/>
    <w:rsid w:val="00C32AD6"/>
    <w:rsid w:val="00C47343"/>
    <w:rsid w:val="00C53659"/>
    <w:rsid w:val="00C55313"/>
    <w:rsid w:val="00C558CB"/>
    <w:rsid w:val="00C650FE"/>
    <w:rsid w:val="00C66660"/>
    <w:rsid w:val="00C75B24"/>
    <w:rsid w:val="00C80F8C"/>
    <w:rsid w:val="00C83E0B"/>
    <w:rsid w:val="00C858CB"/>
    <w:rsid w:val="00C85AB0"/>
    <w:rsid w:val="00C9645E"/>
    <w:rsid w:val="00CA1CE5"/>
    <w:rsid w:val="00CA79EA"/>
    <w:rsid w:val="00CC4FED"/>
    <w:rsid w:val="00CF2DB3"/>
    <w:rsid w:val="00CF30E8"/>
    <w:rsid w:val="00D047E8"/>
    <w:rsid w:val="00D10859"/>
    <w:rsid w:val="00D21840"/>
    <w:rsid w:val="00D243C7"/>
    <w:rsid w:val="00D328BC"/>
    <w:rsid w:val="00D32EC7"/>
    <w:rsid w:val="00D33211"/>
    <w:rsid w:val="00D40599"/>
    <w:rsid w:val="00D412D8"/>
    <w:rsid w:val="00D528E5"/>
    <w:rsid w:val="00D52A18"/>
    <w:rsid w:val="00D57D0F"/>
    <w:rsid w:val="00D57FDF"/>
    <w:rsid w:val="00D64005"/>
    <w:rsid w:val="00D64B9A"/>
    <w:rsid w:val="00D651C7"/>
    <w:rsid w:val="00D72395"/>
    <w:rsid w:val="00D759DE"/>
    <w:rsid w:val="00D861D8"/>
    <w:rsid w:val="00D9156F"/>
    <w:rsid w:val="00D9787F"/>
    <w:rsid w:val="00DA10B4"/>
    <w:rsid w:val="00DA1C65"/>
    <w:rsid w:val="00DA2388"/>
    <w:rsid w:val="00DA33F5"/>
    <w:rsid w:val="00DB564C"/>
    <w:rsid w:val="00DB6E06"/>
    <w:rsid w:val="00DC3BDE"/>
    <w:rsid w:val="00DC4ECF"/>
    <w:rsid w:val="00DC59FF"/>
    <w:rsid w:val="00DD0855"/>
    <w:rsid w:val="00DD2B64"/>
    <w:rsid w:val="00DD3171"/>
    <w:rsid w:val="00DD6036"/>
    <w:rsid w:val="00DE4624"/>
    <w:rsid w:val="00DF1A6A"/>
    <w:rsid w:val="00DF525B"/>
    <w:rsid w:val="00DF5DDA"/>
    <w:rsid w:val="00DF6486"/>
    <w:rsid w:val="00E03270"/>
    <w:rsid w:val="00E063F3"/>
    <w:rsid w:val="00E15B50"/>
    <w:rsid w:val="00E21594"/>
    <w:rsid w:val="00E247EC"/>
    <w:rsid w:val="00E310E8"/>
    <w:rsid w:val="00E317A6"/>
    <w:rsid w:val="00E319E1"/>
    <w:rsid w:val="00E34777"/>
    <w:rsid w:val="00E36E10"/>
    <w:rsid w:val="00E438E8"/>
    <w:rsid w:val="00E6172F"/>
    <w:rsid w:val="00E63612"/>
    <w:rsid w:val="00E64759"/>
    <w:rsid w:val="00E679CB"/>
    <w:rsid w:val="00E7360F"/>
    <w:rsid w:val="00E80821"/>
    <w:rsid w:val="00EA1FE3"/>
    <w:rsid w:val="00EA3BC3"/>
    <w:rsid w:val="00EA558B"/>
    <w:rsid w:val="00EB0254"/>
    <w:rsid w:val="00EB3186"/>
    <w:rsid w:val="00EB3659"/>
    <w:rsid w:val="00EB4F4F"/>
    <w:rsid w:val="00EC0343"/>
    <w:rsid w:val="00EC28FE"/>
    <w:rsid w:val="00EC3656"/>
    <w:rsid w:val="00EC473C"/>
    <w:rsid w:val="00ED1010"/>
    <w:rsid w:val="00ED51ED"/>
    <w:rsid w:val="00ED6338"/>
    <w:rsid w:val="00EE22C2"/>
    <w:rsid w:val="00EF008E"/>
    <w:rsid w:val="00EF2D47"/>
    <w:rsid w:val="00F109A8"/>
    <w:rsid w:val="00F10CF6"/>
    <w:rsid w:val="00F12C79"/>
    <w:rsid w:val="00F35CA3"/>
    <w:rsid w:val="00F3621D"/>
    <w:rsid w:val="00F40941"/>
    <w:rsid w:val="00F42A73"/>
    <w:rsid w:val="00F46492"/>
    <w:rsid w:val="00F5007B"/>
    <w:rsid w:val="00F55F16"/>
    <w:rsid w:val="00F55FE6"/>
    <w:rsid w:val="00F57F14"/>
    <w:rsid w:val="00F659A6"/>
    <w:rsid w:val="00F65F02"/>
    <w:rsid w:val="00F6770E"/>
    <w:rsid w:val="00F90894"/>
    <w:rsid w:val="00F91891"/>
    <w:rsid w:val="00F91978"/>
    <w:rsid w:val="00F93BED"/>
    <w:rsid w:val="00FB48D6"/>
    <w:rsid w:val="00FC21AA"/>
    <w:rsid w:val="00FC72F9"/>
    <w:rsid w:val="00FD2C45"/>
    <w:rsid w:val="00FE527A"/>
    <w:rsid w:val="00FE7356"/>
    <w:rsid w:val="00FE77D5"/>
    <w:rsid w:val="00FF0612"/>
    <w:rsid w:val="00FF2050"/>
    <w:rsid w:val="00FF2135"/>
    <w:rsid w:val="00FF4C86"/>
    <w:rsid w:val="00FF586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42A7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42A73"/>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42A73"/>
    <w:rPr>
      <w:vertAlign w:val="superscript"/>
    </w:rPr>
  </w:style>
  <w:style w:type="paragraph" w:styleId="Prrafodelista">
    <w:name w:val="List Paragraph"/>
    <w:basedOn w:val="Normal"/>
    <w:link w:val="PrrafodelistaCar"/>
    <w:uiPriority w:val="34"/>
    <w:qFormat/>
    <w:rsid w:val="00F42A73"/>
    <w:pPr>
      <w:spacing w:after="160" w:line="259" w:lineRule="auto"/>
      <w:ind w:left="720"/>
      <w:contextualSpacing/>
    </w:pPr>
    <w:rPr>
      <w:rFonts w:asciiTheme="minorHAnsi" w:eastAsiaTheme="minorHAnsi" w:hAnsiTheme="minorHAnsi" w:cstheme="minorBidi"/>
      <w:sz w:val="22"/>
      <w:szCs w:val="22"/>
      <w:lang w:val="es-MX" w:eastAsia="en-US"/>
    </w:rPr>
  </w:style>
  <w:style w:type="table" w:styleId="Tablaconcuadrcula">
    <w:name w:val="Table Grid"/>
    <w:basedOn w:val="Tablanormal"/>
    <w:uiPriority w:val="39"/>
    <w:rsid w:val="00F42A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2A73"/>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4461DC"/>
    <w:rPr>
      <w:color w:val="0000FF" w:themeColor="hyperlink"/>
      <w:u w:val="single"/>
    </w:rPr>
  </w:style>
  <w:style w:type="character" w:customStyle="1" w:styleId="PrrafodelistaCar">
    <w:name w:val="Párrafo de lista Car"/>
    <w:link w:val="Prrafodelista"/>
    <w:uiPriority w:val="34"/>
    <w:locked/>
    <w:rsid w:val="00246378"/>
    <w:rPr>
      <w:rFonts w:eastAsiaTheme="minorHAnsi"/>
      <w:sz w:val="22"/>
      <w:szCs w:val="22"/>
      <w:lang w:val="es-MX" w:eastAsia="en-US"/>
    </w:rPr>
  </w:style>
  <w:style w:type="character" w:customStyle="1" w:styleId="apple-converted-space">
    <w:name w:val="apple-converted-space"/>
    <w:basedOn w:val="Fuentedeprrafopredeter"/>
    <w:rsid w:val="00560767"/>
  </w:style>
  <w:style w:type="paragraph" w:customStyle="1" w:styleId="p">
    <w:name w:val="p"/>
    <w:basedOn w:val="Normal"/>
    <w:rsid w:val="00560767"/>
    <w:pPr>
      <w:spacing w:before="100" w:beforeAutospacing="1" w:after="100" w:afterAutospacing="1"/>
    </w:pPr>
    <w:rPr>
      <w:lang w:val="es-MX" w:eastAsia="es-MX"/>
    </w:rPr>
  </w:style>
  <w:style w:type="character" w:customStyle="1" w:styleId="d">
    <w:name w:val="d"/>
    <w:basedOn w:val="Fuentedeprrafopredeter"/>
    <w:rsid w:val="00560767"/>
  </w:style>
  <w:style w:type="character" w:customStyle="1" w:styleId="b">
    <w:name w:val="b"/>
    <w:basedOn w:val="Fuentedeprrafopredeter"/>
    <w:rsid w:val="00560767"/>
  </w:style>
  <w:style w:type="character" w:customStyle="1" w:styleId="g">
    <w:name w:val="g"/>
    <w:basedOn w:val="Fuentedeprrafopredeter"/>
    <w:rsid w:val="00560767"/>
  </w:style>
  <w:style w:type="paragraph" w:customStyle="1" w:styleId="q">
    <w:name w:val="q"/>
    <w:basedOn w:val="Normal"/>
    <w:rsid w:val="00560767"/>
    <w:pPr>
      <w:spacing w:before="100" w:beforeAutospacing="1" w:after="100" w:afterAutospacing="1"/>
    </w:pPr>
    <w:rPr>
      <w:lang w:val="es-MX" w:eastAsia="es-MX"/>
    </w:rPr>
  </w:style>
  <w:style w:type="paragraph" w:styleId="Sinespaciado">
    <w:name w:val="No Spacing"/>
    <w:aliases w:val="Francesa"/>
    <w:link w:val="SinespaciadoCar"/>
    <w:uiPriority w:val="1"/>
    <w:qFormat/>
    <w:rsid w:val="00790D01"/>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790D01"/>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05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7E53-60C6-47F4-8658-40683013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873</Words>
  <Characters>4596</Characters>
  <Application>Microsoft Office Word</Application>
  <DocSecurity>0</DocSecurity>
  <Lines>95</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2018-08-24T17:45:00Z</cp:lastPrinted>
  <dcterms:created xsi:type="dcterms:W3CDTF">2017-09-08T20:17:00Z</dcterms:created>
  <dcterms:modified xsi:type="dcterms:W3CDTF">2019-07-01T18:29:00Z</dcterms:modified>
</cp:coreProperties>
</file>